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54" w:rsidRPr="0092785B" w:rsidRDefault="002C3954" w:rsidP="002C3954">
      <w:pPr>
        <w:jc w:val="right"/>
        <w:rPr>
          <w:sz w:val="22"/>
          <w:szCs w:val="22"/>
        </w:rPr>
      </w:pPr>
      <w:r w:rsidRPr="0092785B">
        <w:rPr>
          <w:sz w:val="22"/>
          <w:szCs w:val="22"/>
        </w:rPr>
        <w:t>УТВЕРЖДЕНО</w:t>
      </w:r>
    </w:p>
    <w:p w:rsidR="002C3954" w:rsidRPr="0092785B" w:rsidRDefault="002C3954" w:rsidP="002C3954">
      <w:pPr>
        <w:jc w:val="right"/>
        <w:rPr>
          <w:sz w:val="22"/>
          <w:szCs w:val="22"/>
        </w:rPr>
      </w:pPr>
      <w:r w:rsidRPr="0092785B">
        <w:rPr>
          <w:sz w:val="22"/>
          <w:szCs w:val="22"/>
        </w:rPr>
        <w:t>решением совета депутатов</w:t>
      </w:r>
    </w:p>
    <w:p w:rsidR="002C3954" w:rsidRPr="0092785B" w:rsidRDefault="002C3954" w:rsidP="002C3954">
      <w:pPr>
        <w:jc w:val="right"/>
        <w:rPr>
          <w:sz w:val="22"/>
          <w:szCs w:val="22"/>
        </w:rPr>
      </w:pPr>
      <w:r w:rsidRPr="0092785B">
        <w:rPr>
          <w:sz w:val="22"/>
          <w:szCs w:val="22"/>
        </w:rPr>
        <w:t>муниципального образования</w:t>
      </w:r>
    </w:p>
    <w:p w:rsidR="002C3954" w:rsidRPr="0092785B" w:rsidRDefault="002C3954" w:rsidP="002C3954">
      <w:pPr>
        <w:jc w:val="right"/>
        <w:rPr>
          <w:sz w:val="22"/>
          <w:szCs w:val="22"/>
        </w:rPr>
      </w:pPr>
      <w:r w:rsidRPr="0092785B">
        <w:rPr>
          <w:sz w:val="22"/>
          <w:szCs w:val="22"/>
        </w:rPr>
        <w:t>«Город Выборг»</w:t>
      </w:r>
      <w:r>
        <w:rPr>
          <w:sz w:val="22"/>
          <w:szCs w:val="22"/>
        </w:rPr>
        <w:t xml:space="preserve"> </w:t>
      </w:r>
      <w:r w:rsidRPr="0092785B">
        <w:rPr>
          <w:sz w:val="22"/>
          <w:szCs w:val="22"/>
        </w:rPr>
        <w:t>Выборгского района</w:t>
      </w:r>
    </w:p>
    <w:p w:rsidR="002C3954" w:rsidRPr="0092785B" w:rsidRDefault="002C3954" w:rsidP="002C3954">
      <w:pPr>
        <w:jc w:val="right"/>
        <w:rPr>
          <w:sz w:val="22"/>
          <w:szCs w:val="22"/>
        </w:rPr>
      </w:pPr>
      <w:r w:rsidRPr="0092785B">
        <w:rPr>
          <w:sz w:val="22"/>
          <w:szCs w:val="22"/>
        </w:rPr>
        <w:t>Ленинградской области</w:t>
      </w:r>
    </w:p>
    <w:p w:rsidR="002C3954" w:rsidRDefault="002C3954" w:rsidP="002C3954">
      <w:pPr>
        <w:jc w:val="right"/>
        <w:rPr>
          <w:sz w:val="22"/>
          <w:szCs w:val="22"/>
        </w:rPr>
      </w:pPr>
      <w:r w:rsidRPr="0092785B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14 декабря </w:t>
      </w:r>
      <w:r w:rsidRPr="0092785B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92785B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 151</w:t>
      </w:r>
    </w:p>
    <w:p w:rsidR="002C3954" w:rsidRDefault="002C3954" w:rsidP="002C3954">
      <w:pPr>
        <w:jc w:val="right"/>
        <w:rPr>
          <w:sz w:val="22"/>
          <w:szCs w:val="22"/>
        </w:rPr>
      </w:pPr>
      <w:r>
        <w:rPr>
          <w:sz w:val="22"/>
          <w:szCs w:val="22"/>
        </w:rPr>
        <w:t>в редакции решения</w:t>
      </w:r>
    </w:p>
    <w:p w:rsidR="002C3954" w:rsidRDefault="002C3954" w:rsidP="002C3954">
      <w:pPr>
        <w:jc w:val="right"/>
        <w:rPr>
          <w:sz w:val="22"/>
          <w:szCs w:val="22"/>
        </w:rPr>
      </w:pPr>
      <w:r>
        <w:rPr>
          <w:sz w:val="22"/>
          <w:szCs w:val="22"/>
        </w:rPr>
        <w:t>от 15 мая 2018 года №</w:t>
      </w:r>
      <w:r w:rsidR="003C281A">
        <w:rPr>
          <w:sz w:val="22"/>
          <w:szCs w:val="22"/>
        </w:rPr>
        <w:t xml:space="preserve"> 169</w:t>
      </w:r>
    </w:p>
    <w:p w:rsidR="002C3954" w:rsidRPr="0092785B" w:rsidRDefault="002C3954" w:rsidP="00731B42">
      <w:pPr>
        <w:spacing w:before="120" w:after="360"/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Pr="0092785B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19</w:t>
      </w:r>
      <w:r w:rsidRPr="0092785B">
        <w:rPr>
          <w:sz w:val="22"/>
          <w:szCs w:val="22"/>
        </w:rPr>
        <w:t>)</w:t>
      </w:r>
    </w:p>
    <w:p w:rsidR="002C3954" w:rsidRDefault="002C3954" w:rsidP="002C3954">
      <w:pPr>
        <w:jc w:val="center"/>
      </w:pPr>
      <w:r w:rsidRPr="00FC7AF1">
        <w:rPr>
          <w:b/>
          <w:bCs/>
          <w:sz w:val="20"/>
          <w:szCs w:val="20"/>
        </w:rPr>
        <w:t>АДРЕСНАЯ ИНВЕСТИЦИОННАЯ ПРОГРАММА</w:t>
      </w:r>
    </w:p>
    <w:p w:rsidR="002C3954" w:rsidRDefault="002C3954" w:rsidP="002C3954">
      <w:pPr>
        <w:jc w:val="center"/>
      </w:pPr>
      <w:r w:rsidRPr="00FC7AF1">
        <w:rPr>
          <w:b/>
          <w:bCs/>
          <w:sz w:val="20"/>
          <w:szCs w:val="20"/>
        </w:rPr>
        <w:t>МУНИЦИПАЛЬНОГО ОБРАЗОВАНИЯ «ГОРОД ВЫБОРГ»</w:t>
      </w:r>
    </w:p>
    <w:p w:rsidR="002C3954" w:rsidRDefault="002C3954" w:rsidP="002C3954">
      <w:pPr>
        <w:jc w:val="center"/>
      </w:pPr>
      <w:r w:rsidRPr="00FC7AF1">
        <w:rPr>
          <w:b/>
          <w:bCs/>
          <w:sz w:val="20"/>
          <w:szCs w:val="20"/>
        </w:rPr>
        <w:t>ВЫБОРГСКОГО РАЙОНА ЛЕНИНГРАДСКОЙ ОБЛАСТИ</w:t>
      </w:r>
    </w:p>
    <w:p w:rsidR="002C3954" w:rsidRDefault="002C3954" w:rsidP="002C3954">
      <w:pPr>
        <w:jc w:val="center"/>
      </w:pPr>
      <w:r w:rsidRPr="00FC7AF1">
        <w:rPr>
          <w:b/>
          <w:bCs/>
          <w:sz w:val="20"/>
          <w:szCs w:val="20"/>
        </w:rPr>
        <w:t>НА 2018 ГОД</w:t>
      </w:r>
    </w:p>
    <w:p w:rsidR="002C3954" w:rsidRPr="002C3954" w:rsidRDefault="002C3954" w:rsidP="002C3954">
      <w:pPr>
        <w:jc w:val="right"/>
        <w:rPr>
          <w:sz w:val="20"/>
          <w:szCs w:val="20"/>
        </w:rPr>
      </w:pPr>
      <w:r w:rsidRPr="002C3954">
        <w:rPr>
          <w:sz w:val="20"/>
          <w:szCs w:val="20"/>
        </w:rPr>
        <w:t>(тысяч рублей)</w:t>
      </w:r>
    </w:p>
    <w:tbl>
      <w:tblPr>
        <w:tblW w:w="1058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1134"/>
        <w:gridCol w:w="1300"/>
        <w:gridCol w:w="1104"/>
        <w:gridCol w:w="2368"/>
      </w:tblGrid>
      <w:tr w:rsidR="002C3954" w:rsidRPr="00FC7AF1" w:rsidTr="002C3954">
        <w:trPr>
          <w:trHeight w:val="50"/>
        </w:trPr>
        <w:tc>
          <w:tcPr>
            <w:tcW w:w="4678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Наименование муниципальной программы, подпрограммы, мероприятия, объекта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План на 2018 год</w:t>
            </w:r>
          </w:p>
        </w:tc>
        <w:tc>
          <w:tcPr>
            <w:tcW w:w="2404" w:type="dxa"/>
            <w:gridSpan w:val="2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в том числе</w:t>
            </w:r>
          </w:p>
        </w:tc>
        <w:tc>
          <w:tcPr>
            <w:tcW w:w="2368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Главный распорядитель бюджетных средств</w:t>
            </w:r>
          </w:p>
        </w:tc>
      </w:tr>
      <w:tr w:rsidR="002C3954" w:rsidRPr="00FC7AF1" w:rsidTr="002C3954">
        <w:trPr>
          <w:trHeight w:val="276"/>
        </w:trPr>
        <w:tc>
          <w:tcPr>
            <w:tcW w:w="467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областной  бюджет</w:t>
            </w:r>
          </w:p>
        </w:tc>
        <w:tc>
          <w:tcPr>
            <w:tcW w:w="1104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230"/>
        </w:trPr>
        <w:tc>
          <w:tcPr>
            <w:tcW w:w="467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2</w:t>
            </w:r>
          </w:p>
        </w:tc>
        <w:tc>
          <w:tcPr>
            <w:tcW w:w="1300" w:type="dxa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</w:t>
            </w:r>
          </w:p>
        </w:tc>
        <w:tc>
          <w:tcPr>
            <w:tcW w:w="1104" w:type="dxa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4</w:t>
            </w:r>
          </w:p>
        </w:tc>
        <w:tc>
          <w:tcPr>
            <w:tcW w:w="2368" w:type="dxa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C3954" w:rsidRPr="00FC7AF1" w:rsidTr="002C3954">
        <w:trPr>
          <w:trHeight w:val="50"/>
        </w:trPr>
        <w:tc>
          <w:tcPr>
            <w:tcW w:w="10584" w:type="dxa"/>
            <w:gridSpan w:val="5"/>
            <w:shd w:val="clear" w:color="auto" w:fill="auto"/>
            <w:vAlign w:val="bottom"/>
            <w:hideMark/>
          </w:tcPr>
          <w:p w:rsidR="002C3954" w:rsidRPr="00FC7AF1" w:rsidRDefault="002C3954" w:rsidP="002C3954">
            <w:pPr>
              <w:ind w:firstLineChars="600" w:firstLine="1200"/>
              <w:jc w:val="center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Программная часть</w:t>
            </w:r>
          </w:p>
        </w:tc>
      </w:tr>
      <w:tr w:rsidR="002C3954" w:rsidRPr="00FC7AF1" w:rsidTr="002C3954">
        <w:trPr>
          <w:trHeight w:val="436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Муниципальная программа «Безопасность 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1 445,1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1 445,1</w:t>
            </w:r>
          </w:p>
        </w:tc>
        <w:tc>
          <w:tcPr>
            <w:tcW w:w="2368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Администрация муниципального образования «Выборгский район» Ленинградской области</w:t>
            </w:r>
          </w:p>
        </w:tc>
      </w:tr>
      <w:tr w:rsidR="002C3954" w:rsidRPr="00FC7AF1" w:rsidTr="002C3954">
        <w:trPr>
          <w:trHeight w:val="387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«Обеспечение первичных мер пожарной безопасности</w:t>
            </w:r>
            <w:r w:rsidRPr="00FC7AF1">
              <w:rPr>
                <w:b/>
                <w:bCs/>
                <w:sz w:val="20"/>
                <w:szCs w:val="20"/>
              </w:rPr>
              <w:t xml:space="preserve"> </w:t>
            </w:r>
            <w:r w:rsidRPr="00FC7AF1">
              <w:rPr>
                <w:b/>
                <w:bCs/>
                <w:i/>
                <w:iCs/>
                <w:sz w:val="20"/>
                <w:szCs w:val="20"/>
              </w:rPr>
              <w:t>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1 445,1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1 445,1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731B42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Строительство стоянки (площадки) автомобильной с твердым покрытием и подъездной дороги к ней (пожарный пирс)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1 445,1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1 445,1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419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 xml:space="preserve"> </w:t>
            </w:r>
            <w:r w:rsidRPr="00FC7AF1">
              <w:rPr>
                <w:b/>
                <w:bCs/>
                <w:sz w:val="20"/>
                <w:szCs w:val="20"/>
              </w:rPr>
              <w:t>Муниципальная программа «Развитие автомобильных дорог 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90 940,5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64 883,0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26 057,5</w:t>
            </w:r>
          </w:p>
        </w:tc>
        <w:tc>
          <w:tcPr>
            <w:tcW w:w="2368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Администрация муниципального образования «Выборгский район» Ленинградской области</w:t>
            </w:r>
          </w:p>
        </w:tc>
      </w:tr>
      <w:tr w:rsidR="002C3954" w:rsidRPr="00FC7AF1" w:rsidTr="002C3954">
        <w:trPr>
          <w:trHeight w:val="511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«Безопасность дорожного движения на автомобильных дорогах г. Выборга»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4 205,3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4 205,3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35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bookmarkStart w:id="0" w:name="RANGE!A29"/>
            <w:r w:rsidRPr="00FC7AF1">
              <w:rPr>
                <w:sz w:val="20"/>
                <w:szCs w:val="20"/>
              </w:rPr>
              <w:t xml:space="preserve">Установка транспортных светофоров тип Т.7 </w:t>
            </w:r>
            <w:bookmarkEnd w:id="0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1 440,0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1 440,0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297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Установка пешеходных ограждений вдоль муниципальных дорог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1 765,3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1 765,3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31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Установка искусственных дорожных неровностей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1 000,0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1 000,0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731B42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«Строительство и реконструкция дорожно-уличной сети и дорожных сооружений г. Выборга»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86 735,2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64 883,0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21 852,2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453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 xml:space="preserve"> Строительство объектов инфраструктуры для земельных участков, выделяемых в соответствии с областным законом 105-оз от 14.10.2008 г. 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  в  микрорайоне Калининский города Выборга, 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11 789,0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11 789,0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в том числе строительный и авторский надзор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131,5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131,5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552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 xml:space="preserve">Строительство объектов инфраструктуры для земельных участков, выделяемых в соответствии с областным законом 105-оз от 14.10.2008 г. 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  в  микрорайоне </w:t>
            </w:r>
            <w:proofErr w:type="spellStart"/>
            <w:r w:rsidRPr="00FC7AF1">
              <w:rPr>
                <w:sz w:val="20"/>
                <w:szCs w:val="20"/>
              </w:rPr>
              <w:t>Сайменский</w:t>
            </w:r>
            <w:proofErr w:type="spellEnd"/>
            <w:r w:rsidRPr="00FC7AF1">
              <w:rPr>
                <w:sz w:val="20"/>
                <w:szCs w:val="20"/>
              </w:rPr>
              <w:t xml:space="preserve"> города Выборга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7 853,3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7 853,3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06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 xml:space="preserve">Строительно-монтажные работы по объекту «Путепровод в промышленной зоне </w:t>
            </w:r>
            <w:proofErr w:type="spellStart"/>
            <w:r w:rsidRPr="00FC7AF1">
              <w:rPr>
                <w:sz w:val="20"/>
                <w:szCs w:val="20"/>
              </w:rPr>
              <w:t>Лазаревка</w:t>
            </w:r>
            <w:proofErr w:type="spellEnd"/>
            <w:r w:rsidRPr="00FC7AF1">
              <w:rPr>
                <w:sz w:val="20"/>
                <w:szCs w:val="20"/>
              </w:rPr>
              <w:t xml:space="preserve"> через железную дорогу Санкт-Петербург – </w:t>
            </w:r>
            <w:proofErr w:type="spellStart"/>
            <w:r w:rsidRPr="00FC7AF1">
              <w:rPr>
                <w:sz w:val="20"/>
                <w:szCs w:val="20"/>
              </w:rPr>
              <w:t>Бусловская</w:t>
            </w:r>
            <w:proofErr w:type="spellEnd"/>
            <w:r w:rsidRPr="00FC7AF1">
              <w:rPr>
                <w:sz w:val="20"/>
                <w:szCs w:val="20"/>
              </w:rPr>
              <w:t xml:space="preserve"> в городе Выборге Ленинградской области», 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67 092,9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64 883,0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2 209,9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 xml:space="preserve"> в том числе авторский надзор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486,4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486,4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704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«Обеспечение качественным жильем граждан на территории МО «Город Выборг»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21 215,2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1 351,2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19 864,0</w:t>
            </w:r>
          </w:p>
        </w:tc>
        <w:tc>
          <w:tcPr>
            <w:tcW w:w="2368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1" w:name="RANGE!E47"/>
            <w:r w:rsidRPr="00FC7AF1">
              <w:rPr>
                <w:b/>
                <w:bCs/>
                <w:i/>
                <w:iCs/>
                <w:sz w:val="20"/>
                <w:szCs w:val="20"/>
              </w:rPr>
              <w:t xml:space="preserve">Администрация муниципального образования «Выборгский район» Ленинградской области </w:t>
            </w:r>
            <w:bookmarkEnd w:id="1"/>
          </w:p>
        </w:tc>
      </w:tr>
      <w:tr w:rsidR="002C3954" w:rsidRPr="00FC7AF1" w:rsidTr="002C3954">
        <w:trPr>
          <w:trHeight w:val="576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"Переселение граждан из аварийного жилищного фонда на территории МО "Город Выборг"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19 764,0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19 764,0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69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Приобретение объектов недвижимого имущества (жилых помещений) в муниципальную собственность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19 764,0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19 764,0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814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 «</w:t>
            </w:r>
            <w:r w:rsidRPr="00FC7AF1">
              <w:rPr>
                <w:b/>
                <w:bCs/>
                <w:i/>
                <w:iCs/>
                <w:color w:val="000000"/>
                <w:sz w:val="20"/>
                <w:szCs w:val="20"/>
              </w:rPr>
              <w:t>Оказание поддержки гражданам, пострадавшим в результате пожара муниципального жилищного фонда на территории 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1 451,2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1 351,2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728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Строительство (приобретение) жилых помещений для предоставления гражданам, пострадавшим в результате пожаров муниципального жилищного фонда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1 451,2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1 351,2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100,0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634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 xml:space="preserve">Муниципальная программа «Обеспечение устойчивого функционирования и развития коммунальной и инженерной инфраструктуры в </w:t>
            </w:r>
            <w:r w:rsidRPr="00FC7AF1">
              <w:rPr>
                <w:b/>
                <w:bCs/>
                <w:color w:val="000000"/>
                <w:sz w:val="20"/>
                <w:szCs w:val="20"/>
              </w:rPr>
              <w:t>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70 813,4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56 353,6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14 459,8</w:t>
            </w:r>
          </w:p>
        </w:tc>
        <w:tc>
          <w:tcPr>
            <w:tcW w:w="2368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Администрация муниципального образования «Выборгский район» Ленинградской области</w:t>
            </w:r>
          </w:p>
        </w:tc>
      </w:tr>
      <w:tr w:rsidR="002C3954" w:rsidRPr="00FC7AF1" w:rsidTr="002C3954">
        <w:trPr>
          <w:trHeight w:val="405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 «Газификация 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70 813,4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56 353,6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14 459,8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61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 xml:space="preserve"> Распределительный газопровод высокого давления в микрорайоне Петровский города Выборга (строительно-монтажные работы), 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49 654,7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38 500,0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11 154,7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в том числе технический и авторский надзор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1 574,2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1 574,2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Распределительный газопровод среднего давления для газоснабжения жилых домов  по ул. Островная, ул. Петровская города Выборга, 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4 610,4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1 841,4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2 769,0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в том числе проектно-изыскательские и строительно-монтажные работы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2 809,3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1 841,4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967,9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34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государственная экспертиза проектной документации и инженерных изысканий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1 500,0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1 500,0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технический и авторский надзор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301,1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301,1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314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 xml:space="preserve">Распределительный газопровод среднего давления для газоснабжения жилых домов  по ул. Уральская, ул. Тенистая, ул. Гранитная, ул. Большая Гвардейская, ул. Окружная, ул. Малая Гвардейская, ул. Верхняя Поселковая, ул. Парковая, </w:t>
            </w:r>
            <w:proofErr w:type="spellStart"/>
            <w:r w:rsidRPr="00FC7AF1">
              <w:rPr>
                <w:sz w:val="20"/>
                <w:szCs w:val="20"/>
              </w:rPr>
              <w:t>Новопоселковый</w:t>
            </w:r>
            <w:proofErr w:type="spellEnd"/>
            <w:r w:rsidRPr="00FC7AF1">
              <w:rPr>
                <w:sz w:val="20"/>
                <w:szCs w:val="20"/>
              </w:rPr>
              <w:t xml:space="preserve"> тупик, Глухой переулок, Зеленый переулок, Малый Гвардейский переулок г. Выборга, 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16 548,3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16 012,2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536,1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5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в том числе проектно-изыскательские работы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3 965,3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3 686,0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279,3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201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государственная экспертиза проектной документации и инженерных изысканий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256,8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256,8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213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Муниципальная программа «Благоустройство 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5 314,8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3 714,7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1 600,1</w:t>
            </w:r>
          </w:p>
        </w:tc>
        <w:tc>
          <w:tcPr>
            <w:tcW w:w="2368" w:type="dxa"/>
            <w:vMerge w:val="restart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Администрация муниципального образования «Выборгский район» Ленинградской области</w:t>
            </w:r>
          </w:p>
        </w:tc>
      </w:tr>
      <w:tr w:rsidR="002C3954" w:rsidRPr="00FC7AF1" w:rsidTr="002C3954">
        <w:trPr>
          <w:trHeight w:val="492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 «Развитие  и реконструкция сетей уличного освещения на территории 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5 014,8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3 714,7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1 300,1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72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Строительство сетей наружного освещения  по адресам: город Выборг ул. Пушкинская (в т.ч.разработка проекта)</w:t>
            </w:r>
            <w:r w:rsidRPr="00FC7AF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1 300,1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1 300,1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375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Устройство наружного освещения Прогонного сквера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3 714,7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3 714,7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 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383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Подпрограмма «Обеспечение санитарного состояния территории МО «Город Выборг»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C7AF1">
              <w:rPr>
                <w:b/>
                <w:bCs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151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Строительство контейнерных площадок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300,0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sz w:val="20"/>
                <w:szCs w:val="20"/>
              </w:rPr>
            </w:pPr>
            <w:r w:rsidRPr="00FC7AF1">
              <w:rPr>
                <w:sz w:val="20"/>
                <w:szCs w:val="20"/>
              </w:rPr>
              <w:t>300,0</w:t>
            </w:r>
          </w:p>
        </w:tc>
        <w:tc>
          <w:tcPr>
            <w:tcW w:w="2368" w:type="dxa"/>
            <w:vMerge/>
            <w:vAlign w:val="center"/>
            <w:hideMark/>
          </w:tcPr>
          <w:p w:rsidR="002C3954" w:rsidRPr="00FC7AF1" w:rsidRDefault="002C3954" w:rsidP="00B874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C3954" w:rsidRPr="00FC7AF1" w:rsidTr="002C3954">
        <w:trPr>
          <w:trHeight w:val="80"/>
        </w:trPr>
        <w:tc>
          <w:tcPr>
            <w:tcW w:w="4678" w:type="dxa"/>
            <w:shd w:val="clear" w:color="auto" w:fill="auto"/>
            <w:hideMark/>
          </w:tcPr>
          <w:p w:rsidR="002C3954" w:rsidRPr="00FC7AF1" w:rsidRDefault="002C3954" w:rsidP="00B87466">
            <w:pPr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189 729,0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126 302,5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2C3954" w:rsidRPr="00FC7AF1" w:rsidRDefault="002C3954" w:rsidP="00B87466">
            <w:pPr>
              <w:jc w:val="right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63 426,5</w:t>
            </w:r>
          </w:p>
        </w:tc>
        <w:tc>
          <w:tcPr>
            <w:tcW w:w="2368" w:type="dxa"/>
            <w:shd w:val="clear" w:color="auto" w:fill="auto"/>
            <w:hideMark/>
          </w:tcPr>
          <w:p w:rsidR="002C3954" w:rsidRPr="00FC7AF1" w:rsidRDefault="002C3954" w:rsidP="00B87466">
            <w:pPr>
              <w:jc w:val="center"/>
              <w:rPr>
                <w:b/>
                <w:bCs/>
                <w:sz w:val="20"/>
                <w:szCs w:val="20"/>
              </w:rPr>
            </w:pPr>
            <w:r w:rsidRPr="00FC7AF1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2C3954" w:rsidRDefault="002C3954"/>
    <w:sectPr w:rsidR="002C3954" w:rsidSect="00731B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FC7AF1"/>
    <w:rsid w:val="00000287"/>
    <w:rsid w:val="0000192F"/>
    <w:rsid w:val="00001CB9"/>
    <w:rsid w:val="000032B9"/>
    <w:rsid w:val="00003A2B"/>
    <w:rsid w:val="00003BC9"/>
    <w:rsid w:val="00003F57"/>
    <w:rsid w:val="00004793"/>
    <w:rsid w:val="00004E35"/>
    <w:rsid w:val="00011228"/>
    <w:rsid w:val="00013FC4"/>
    <w:rsid w:val="00014E4E"/>
    <w:rsid w:val="000172F7"/>
    <w:rsid w:val="000179AE"/>
    <w:rsid w:val="0002003F"/>
    <w:rsid w:val="00020766"/>
    <w:rsid w:val="00020869"/>
    <w:rsid w:val="00021F3E"/>
    <w:rsid w:val="00022800"/>
    <w:rsid w:val="000239DD"/>
    <w:rsid w:val="00023DA0"/>
    <w:rsid w:val="00024685"/>
    <w:rsid w:val="000254D8"/>
    <w:rsid w:val="00025CC9"/>
    <w:rsid w:val="00026607"/>
    <w:rsid w:val="0002673E"/>
    <w:rsid w:val="000276D4"/>
    <w:rsid w:val="00027CA4"/>
    <w:rsid w:val="00030698"/>
    <w:rsid w:val="0003098B"/>
    <w:rsid w:val="00030AEC"/>
    <w:rsid w:val="000367C8"/>
    <w:rsid w:val="0003765A"/>
    <w:rsid w:val="0004515D"/>
    <w:rsid w:val="00045527"/>
    <w:rsid w:val="00045DDD"/>
    <w:rsid w:val="00046AD7"/>
    <w:rsid w:val="00047591"/>
    <w:rsid w:val="00047B63"/>
    <w:rsid w:val="00050443"/>
    <w:rsid w:val="00050DF0"/>
    <w:rsid w:val="00051184"/>
    <w:rsid w:val="000525CA"/>
    <w:rsid w:val="0005292A"/>
    <w:rsid w:val="00056E70"/>
    <w:rsid w:val="0005747A"/>
    <w:rsid w:val="00061924"/>
    <w:rsid w:val="00061D30"/>
    <w:rsid w:val="00061E0C"/>
    <w:rsid w:val="000658CC"/>
    <w:rsid w:val="000701F4"/>
    <w:rsid w:val="000732B5"/>
    <w:rsid w:val="00074E8A"/>
    <w:rsid w:val="000765FD"/>
    <w:rsid w:val="00080D11"/>
    <w:rsid w:val="00083168"/>
    <w:rsid w:val="00083C0A"/>
    <w:rsid w:val="00084684"/>
    <w:rsid w:val="000853A0"/>
    <w:rsid w:val="00086C80"/>
    <w:rsid w:val="00086D66"/>
    <w:rsid w:val="000871DD"/>
    <w:rsid w:val="00087AED"/>
    <w:rsid w:val="00091A9D"/>
    <w:rsid w:val="00092D41"/>
    <w:rsid w:val="00092E70"/>
    <w:rsid w:val="000935C8"/>
    <w:rsid w:val="0009423B"/>
    <w:rsid w:val="0009555D"/>
    <w:rsid w:val="000969B4"/>
    <w:rsid w:val="00097BBF"/>
    <w:rsid w:val="000A0C38"/>
    <w:rsid w:val="000A1849"/>
    <w:rsid w:val="000A231F"/>
    <w:rsid w:val="000A2509"/>
    <w:rsid w:val="000A35E0"/>
    <w:rsid w:val="000A44E6"/>
    <w:rsid w:val="000A4EE6"/>
    <w:rsid w:val="000A6239"/>
    <w:rsid w:val="000A73F8"/>
    <w:rsid w:val="000B0836"/>
    <w:rsid w:val="000B0FB2"/>
    <w:rsid w:val="000B1BBC"/>
    <w:rsid w:val="000B1FFC"/>
    <w:rsid w:val="000B204A"/>
    <w:rsid w:val="000B248C"/>
    <w:rsid w:val="000B2B1B"/>
    <w:rsid w:val="000B37E1"/>
    <w:rsid w:val="000B3971"/>
    <w:rsid w:val="000B4059"/>
    <w:rsid w:val="000B49F9"/>
    <w:rsid w:val="000B68FE"/>
    <w:rsid w:val="000B7846"/>
    <w:rsid w:val="000B7B69"/>
    <w:rsid w:val="000C0843"/>
    <w:rsid w:val="000C0C21"/>
    <w:rsid w:val="000C12C0"/>
    <w:rsid w:val="000C4395"/>
    <w:rsid w:val="000C7A7C"/>
    <w:rsid w:val="000C7B26"/>
    <w:rsid w:val="000D0F8D"/>
    <w:rsid w:val="000D20F3"/>
    <w:rsid w:val="000D2F19"/>
    <w:rsid w:val="000D3702"/>
    <w:rsid w:val="000D5403"/>
    <w:rsid w:val="000D7B75"/>
    <w:rsid w:val="000E16EE"/>
    <w:rsid w:val="000E3032"/>
    <w:rsid w:val="000E5EA2"/>
    <w:rsid w:val="000E79A8"/>
    <w:rsid w:val="000E79DD"/>
    <w:rsid w:val="000F1657"/>
    <w:rsid w:val="000F6481"/>
    <w:rsid w:val="0010098E"/>
    <w:rsid w:val="001046FA"/>
    <w:rsid w:val="00111E0B"/>
    <w:rsid w:val="001122B0"/>
    <w:rsid w:val="00112992"/>
    <w:rsid w:val="001139EE"/>
    <w:rsid w:val="00116237"/>
    <w:rsid w:val="00120027"/>
    <w:rsid w:val="00120361"/>
    <w:rsid w:val="0012048A"/>
    <w:rsid w:val="0012179C"/>
    <w:rsid w:val="00121DEF"/>
    <w:rsid w:val="00121FEE"/>
    <w:rsid w:val="001227D6"/>
    <w:rsid w:val="0012364D"/>
    <w:rsid w:val="00123C16"/>
    <w:rsid w:val="00123F07"/>
    <w:rsid w:val="00125A47"/>
    <w:rsid w:val="00125D25"/>
    <w:rsid w:val="00125F71"/>
    <w:rsid w:val="00126101"/>
    <w:rsid w:val="0013075F"/>
    <w:rsid w:val="00130AC0"/>
    <w:rsid w:val="00134636"/>
    <w:rsid w:val="0013557F"/>
    <w:rsid w:val="00135EB9"/>
    <w:rsid w:val="0013625C"/>
    <w:rsid w:val="0013772E"/>
    <w:rsid w:val="0014087B"/>
    <w:rsid w:val="001448FE"/>
    <w:rsid w:val="001455F2"/>
    <w:rsid w:val="00151F85"/>
    <w:rsid w:val="001541CE"/>
    <w:rsid w:val="0015520D"/>
    <w:rsid w:val="00160069"/>
    <w:rsid w:val="001609F5"/>
    <w:rsid w:val="00160B3F"/>
    <w:rsid w:val="001616C6"/>
    <w:rsid w:val="00162055"/>
    <w:rsid w:val="00163748"/>
    <w:rsid w:val="00164FC9"/>
    <w:rsid w:val="00166DB4"/>
    <w:rsid w:val="00170D70"/>
    <w:rsid w:val="00171404"/>
    <w:rsid w:val="00171CCE"/>
    <w:rsid w:val="00173DCD"/>
    <w:rsid w:val="001742A8"/>
    <w:rsid w:val="0017488E"/>
    <w:rsid w:val="00174B1A"/>
    <w:rsid w:val="00175465"/>
    <w:rsid w:val="001761E6"/>
    <w:rsid w:val="001770CC"/>
    <w:rsid w:val="001773AA"/>
    <w:rsid w:val="001813F0"/>
    <w:rsid w:val="0018286B"/>
    <w:rsid w:val="00182D90"/>
    <w:rsid w:val="001876FF"/>
    <w:rsid w:val="00187F47"/>
    <w:rsid w:val="00190BAE"/>
    <w:rsid w:val="001914A2"/>
    <w:rsid w:val="001A084B"/>
    <w:rsid w:val="001A0B96"/>
    <w:rsid w:val="001A184A"/>
    <w:rsid w:val="001A32ED"/>
    <w:rsid w:val="001B0A55"/>
    <w:rsid w:val="001B131B"/>
    <w:rsid w:val="001B2233"/>
    <w:rsid w:val="001B3AE5"/>
    <w:rsid w:val="001B3EE8"/>
    <w:rsid w:val="001B4E3B"/>
    <w:rsid w:val="001B6169"/>
    <w:rsid w:val="001B62EE"/>
    <w:rsid w:val="001B7463"/>
    <w:rsid w:val="001C00C5"/>
    <w:rsid w:val="001C0534"/>
    <w:rsid w:val="001C7B22"/>
    <w:rsid w:val="001D1981"/>
    <w:rsid w:val="001D264B"/>
    <w:rsid w:val="001D2D66"/>
    <w:rsid w:val="001D2DEF"/>
    <w:rsid w:val="001D3D2F"/>
    <w:rsid w:val="001D4EE0"/>
    <w:rsid w:val="001D6335"/>
    <w:rsid w:val="001D63AE"/>
    <w:rsid w:val="001E0AD4"/>
    <w:rsid w:val="001E142F"/>
    <w:rsid w:val="001E2A87"/>
    <w:rsid w:val="001E34AF"/>
    <w:rsid w:val="001E5E18"/>
    <w:rsid w:val="001F2608"/>
    <w:rsid w:val="001F3BFF"/>
    <w:rsid w:val="001F4707"/>
    <w:rsid w:val="001F4759"/>
    <w:rsid w:val="001F4AF5"/>
    <w:rsid w:val="001F55BE"/>
    <w:rsid w:val="001F5FF1"/>
    <w:rsid w:val="001F6C45"/>
    <w:rsid w:val="001F751E"/>
    <w:rsid w:val="001F7B7C"/>
    <w:rsid w:val="0020306C"/>
    <w:rsid w:val="00204397"/>
    <w:rsid w:val="00204671"/>
    <w:rsid w:val="0020484A"/>
    <w:rsid w:val="00204A54"/>
    <w:rsid w:val="002101DD"/>
    <w:rsid w:val="00210F31"/>
    <w:rsid w:val="002139C8"/>
    <w:rsid w:val="00213C3F"/>
    <w:rsid w:val="00213ED0"/>
    <w:rsid w:val="0021425C"/>
    <w:rsid w:val="00215D6F"/>
    <w:rsid w:val="002167A4"/>
    <w:rsid w:val="00216A39"/>
    <w:rsid w:val="00217A52"/>
    <w:rsid w:val="00217C09"/>
    <w:rsid w:val="0022012A"/>
    <w:rsid w:val="00220762"/>
    <w:rsid w:val="00220914"/>
    <w:rsid w:val="002210CF"/>
    <w:rsid w:val="0022133C"/>
    <w:rsid w:val="00222FCE"/>
    <w:rsid w:val="00223A7F"/>
    <w:rsid w:val="0022601F"/>
    <w:rsid w:val="002269D1"/>
    <w:rsid w:val="00226C18"/>
    <w:rsid w:val="00226F74"/>
    <w:rsid w:val="00234E31"/>
    <w:rsid w:val="002352B1"/>
    <w:rsid w:val="002422CD"/>
    <w:rsid w:val="00243ECF"/>
    <w:rsid w:val="00244DCC"/>
    <w:rsid w:val="00247D2A"/>
    <w:rsid w:val="0025046F"/>
    <w:rsid w:val="00250FD6"/>
    <w:rsid w:val="002510AA"/>
    <w:rsid w:val="00251EBE"/>
    <w:rsid w:val="00251FF9"/>
    <w:rsid w:val="00253C54"/>
    <w:rsid w:val="00256372"/>
    <w:rsid w:val="002573B2"/>
    <w:rsid w:val="0026034A"/>
    <w:rsid w:val="002607E8"/>
    <w:rsid w:val="002608A1"/>
    <w:rsid w:val="002635A8"/>
    <w:rsid w:val="00265146"/>
    <w:rsid w:val="0026767F"/>
    <w:rsid w:val="00272B57"/>
    <w:rsid w:val="00273808"/>
    <w:rsid w:val="002757A4"/>
    <w:rsid w:val="00276A15"/>
    <w:rsid w:val="002801B8"/>
    <w:rsid w:val="00280FDE"/>
    <w:rsid w:val="00281107"/>
    <w:rsid w:val="00281AA4"/>
    <w:rsid w:val="00284790"/>
    <w:rsid w:val="00285390"/>
    <w:rsid w:val="00286647"/>
    <w:rsid w:val="00290B6E"/>
    <w:rsid w:val="00291D9C"/>
    <w:rsid w:val="002921E6"/>
    <w:rsid w:val="00292276"/>
    <w:rsid w:val="00292DA8"/>
    <w:rsid w:val="002940C2"/>
    <w:rsid w:val="00295178"/>
    <w:rsid w:val="0029735A"/>
    <w:rsid w:val="00297EA1"/>
    <w:rsid w:val="002A002B"/>
    <w:rsid w:val="002A064B"/>
    <w:rsid w:val="002A0EC7"/>
    <w:rsid w:val="002A1633"/>
    <w:rsid w:val="002A23FF"/>
    <w:rsid w:val="002A3CE5"/>
    <w:rsid w:val="002A45A4"/>
    <w:rsid w:val="002A6229"/>
    <w:rsid w:val="002A7BFB"/>
    <w:rsid w:val="002B1B57"/>
    <w:rsid w:val="002B2126"/>
    <w:rsid w:val="002B2D65"/>
    <w:rsid w:val="002B3014"/>
    <w:rsid w:val="002B50F9"/>
    <w:rsid w:val="002B563F"/>
    <w:rsid w:val="002C118A"/>
    <w:rsid w:val="002C2E30"/>
    <w:rsid w:val="002C3954"/>
    <w:rsid w:val="002C6A8B"/>
    <w:rsid w:val="002C7FB1"/>
    <w:rsid w:val="002D061D"/>
    <w:rsid w:val="002D1BED"/>
    <w:rsid w:val="002D1FFA"/>
    <w:rsid w:val="002D2AA2"/>
    <w:rsid w:val="002D3D4C"/>
    <w:rsid w:val="002D4EBD"/>
    <w:rsid w:val="002D7C59"/>
    <w:rsid w:val="002D7D3C"/>
    <w:rsid w:val="002E0382"/>
    <w:rsid w:val="002E0CEE"/>
    <w:rsid w:val="002E2F70"/>
    <w:rsid w:val="002E3529"/>
    <w:rsid w:val="002E3D12"/>
    <w:rsid w:val="002E3FAC"/>
    <w:rsid w:val="002E4DD3"/>
    <w:rsid w:val="002E54AE"/>
    <w:rsid w:val="002E6BDB"/>
    <w:rsid w:val="002E7C18"/>
    <w:rsid w:val="002F2600"/>
    <w:rsid w:val="002F3D24"/>
    <w:rsid w:val="002F3F89"/>
    <w:rsid w:val="002F4035"/>
    <w:rsid w:val="002F4363"/>
    <w:rsid w:val="002F4BAB"/>
    <w:rsid w:val="002F4FF2"/>
    <w:rsid w:val="002F7232"/>
    <w:rsid w:val="002F7838"/>
    <w:rsid w:val="003005D6"/>
    <w:rsid w:val="00301B29"/>
    <w:rsid w:val="00302282"/>
    <w:rsid w:val="0030282E"/>
    <w:rsid w:val="00303752"/>
    <w:rsid w:val="00305DA8"/>
    <w:rsid w:val="00306C82"/>
    <w:rsid w:val="00307435"/>
    <w:rsid w:val="00310887"/>
    <w:rsid w:val="0031228C"/>
    <w:rsid w:val="003125A8"/>
    <w:rsid w:val="00313386"/>
    <w:rsid w:val="00317AF8"/>
    <w:rsid w:val="00320297"/>
    <w:rsid w:val="0032132D"/>
    <w:rsid w:val="00321B46"/>
    <w:rsid w:val="00326FAC"/>
    <w:rsid w:val="003303F4"/>
    <w:rsid w:val="00331CFB"/>
    <w:rsid w:val="00331E19"/>
    <w:rsid w:val="00331ED0"/>
    <w:rsid w:val="0033229A"/>
    <w:rsid w:val="00332B4E"/>
    <w:rsid w:val="003343AA"/>
    <w:rsid w:val="00335025"/>
    <w:rsid w:val="00335124"/>
    <w:rsid w:val="003354E2"/>
    <w:rsid w:val="003379E8"/>
    <w:rsid w:val="00340A0B"/>
    <w:rsid w:val="003437D7"/>
    <w:rsid w:val="003458EA"/>
    <w:rsid w:val="003470C7"/>
    <w:rsid w:val="00350A75"/>
    <w:rsid w:val="00350BB0"/>
    <w:rsid w:val="0035168A"/>
    <w:rsid w:val="00353FE1"/>
    <w:rsid w:val="00355345"/>
    <w:rsid w:val="00355B1A"/>
    <w:rsid w:val="00361936"/>
    <w:rsid w:val="0036317E"/>
    <w:rsid w:val="00364A45"/>
    <w:rsid w:val="00367161"/>
    <w:rsid w:val="003705E7"/>
    <w:rsid w:val="003715B4"/>
    <w:rsid w:val="00374483"/>
    <w:rsid w:val="00374CB7"/>
    <w:rsid w:val="00374FCD"/>
    <w:rsid w:val="00377644"/>
    <w:rsid w:val="00377B0C"/>
    <w:rsid w:val="00377D98"/>
    <w:rsid w:val="003803AE"/>
    <w:rsid w:val="003806DB"/>
    <w:rsid w:val="0038085D"/>
    <w:rsid w:val="00384C8E"/>
    <w:rsid w:val="00384CCF"/>
    <w:rsid w:val="00384D6F"/>
    <w:rsid w:val="00384DB8"/>
    <w:rsid w:val="00387102"/>
    <w:rsid w:val="00391C7C"/>
    <w:rsid w:val="00392DD6"/>
    <w:rsid w:val="00392E2C"/>
    <w:rsid w:val="00393E7A"/>
    <w:rsid w:val="00393F51"/>
    <w:rsid w:val="00396CF8"/>
    <w:rsid w:val="003A0254"/>
    <w:rsid w:val="003A0B60"/>
    <w:rsid w:val="003A153E"/>
    <w:rsid w:val="003A1CB3"/>
    <w:rsid w:val="003A504F"/>
    <w:rsid w:val="003A5A77"/>
    <w:rsid w:val="003A5EB6"/>
    <w:rsid w:val="003A71E5"/>
    <w:rsid w:val="003B1FB7"/>
    <w:rsid w:val="003B279F"/>
    <w:rsid w:val="003B4A85"/>
    <w:rsid w:val="003B4D67"/>
    <w:rsid w:val="003B725E"/>
    <w:rsid w:val="003C01CD"/>
    <w:rsid w:val="003C22EC"/>
    <w:rsid w:val="003C281A"/>
    <w:rsid w:val="003C285D"/>
    <w:rsid w:val="003C39D0"/>
    <w:rsid w:val="003C4C3E"/>
    <w:rsid w:val="003C611D"/>
    <w:rsid w:val="003C6887"/>
    <w:rsid w:val="003D17DB"/>
    <w:rsid w:val="003D35C7"/>
    <w:rsid w:val="003D403F"/>
    <w:rsid w:val="003D594D"/>
    <w:rsid w:val="003D719B"/>
    <w:rsid w:val="003E0CC2"/>
    <w:rsid w:val="003E1208"/>
    <w:rsid w:val="003E2A8F"/>
    <w:rsid w:val="003E3C04"/>
    <w:rsid w:val="003E3C36"/>
    <w:rsid w:val="003E3D6E"/>
    <w:rsid w:val="003E4207"/>
    <w:rsid w:val="003E42AF"/>
    <w:rsid w:val="003E4892"/>
    <w:rsid w:val="003E5402"/>
    <w:rsid w:val="003E7A07"/>
    <w:rsid w:val="003F227D"/>
    <w:rsid w:val="003F2577"/>
    <w:rsid w:val="003F2CCB"/>
    <w:rsid w:val="003F3E5A"/>
    <w:rsid w:val="003F4699"/>
    <w:rsid w:val="003F47BE"/>
    <w:rsid w:val="003F51A0"/>
    <w:rsid w:val="003F5505"/>
    <w:rsid w:val="003F58B3"/>
    <w:rsid w:val="003F5DBB"/>
    <w:rsid w:val="003F5F0F"/>
    <w:rsid w:val="003F68BC"/>
    <w:rsid w:val="003F716A"/>
    <w:rsid w:val="003F72DE"/>
    <w:rsid w:val="003F7584"/>
    <w:rsid w:val="004008E9"/>
    <w:rsid w:val="00401DA3"/>
    <w:rsid w:val="00402563"/>
    <w:rsid w:val="00402C87"/>
    <w:rsid w:val="00402FEC"/>
    <w:rsid w:val="00403838"/>
    <w:rsid w:val="00403A42"/>
    <w:rsid w:val="004043C9"/>
    <w:rsid w:val="00404C07"/>
    <w:rsid w:val="00404F92"/>
    <w:rsid w:val="00411ABC"/>
    <w:rsid w:val="00413126"/>
    <w:rsid w:val="00413D18"/>
    <w:rsid w:val="0041464E"/>
    <w:rsid w:val="00421304"/>
    <w:rsid w:val="004217DF"/>
    <w:rsid w:val="00422A24"/>
    <w:rsid w:val="0042476A"/>
    <w:rsid w:val="0042508B"/>
    <w:rsid w:val="00425313"/>
    <w:rsid w:val="004259DD"/>
    <w:rsid w:val="00425B06"/>
    <w:rsid w:val="00425D50"/>
    <w:rsid w:val="004264A3"/>
    <w:rsid w:val="00427631"/>
    <w:rsid w:val="00427964"/>
    <w:rsid w:val="00431E89"/>
    <w:rsid w:val="00432220"/>
    <w:rsid w:val="004325EC"/>
    <w:rsid w:val="00434277"/>
    <w:rsid w:val="00434BBF"/>
    <w:rsid w:val="0043714B"/>
    <w:rsid w:val="00437303"/>
    <w:rsid w:val="00441BB5"/>
    <w:rsid w:val="0044291F"/>
    <w:rsid w:val="00442C41"/>
    <w:rsid w:val="00443173"/>
    <w:rsid w:val="00444CB8"/>
    <w:rsid w:val="00445799"/>
    <w:rsid w:val="00447B00"/>
    <w:rsid w:val="00450101"/>
    <w:rsid w:val="00451FE6"/>
    <w:rsid w:val="004538C5"/>
    <w:rsid w:val="004616CE"/>
    <w:rsid w:val="00464177"/>
    <w:rsid w:val="00466DA2"/>
    <w:rsid w:val="00466F37"/>
    <w:rsid w:val="004677A3"/>
    <w:rsid w:val="004743F2"/>
    <w:rsid w:val="004757A2"/>
    <w:rsid w:val="0047722B"/>
    <w:rsid w:val="00477533"/>
    <w:rsid w:val="00477858"/>
    <w:rsid w:val="00481AD7"/>
    <w:rsid w:val="00482E45"/>
    <w:rsid w:val="00484200"/>
    <w:rsid w:val="00484B1A"/>
    <w:rsid w:val="0048767E"/>
    <w:rsid w:val="004900DD"/>
    <w:rsid w:val="004911AD"/>
    <w:rsid w:val="00491828"/>
    <w:rsid w:val="004942B2"/>
    <w:rsid w:val="00495C2B"/>
    <w:rsid w:val="00496394"/>
    <w:rsid w:val="004A0C0C"/>
    <w:rsid w:val="004A1B12"/>
    <w:rsid w:val="004A21F9"/>
    <w:rsid w:val="004A3E3B"/>
    <w:rsid w:val="004A5DE2"/>
    <w:rsid w:val="004A79FE"/>
    <w:rsid w:val="004A7B3F"/>
    <w:rsid w:val="004A7F4F"/>
    <w:rsid w:val="004B3005"/>
    <w:rsid w:val="004B7CDE"/>
    <w:rsid w:val="004C01AF"/>
    <w:rsid w:val="004C10F8"/>
    <w:rsid w:val="004C1BEC"/>
    <w:rsid w:val="004C26E7"/>
    <w:rsid w:val="004C3AAB"/>
    <w:rsid w:val="004C483C"/>
    <w:rsid w:val="004C5622"/>
    <w:rsid w:val="004D0877"/>
    <w:rsid w:val="004D1070"/>
    <w:rsid w:val="004D1132"/>
    <w:rsid w:val="004D1348"/>
    <w:rsid w:val="004D5159"/>
    <w:rsid w:val="004D54FE"/>
    <w:rsid w:val="004E65D7"/>
    <w:rsid w:val="004F068D"/>
    <w:rsid w:val="004F09CE"/>
    <w:rsid w:val="004F11D7"/>
    <w:rsid w:val="004F1302"/>
    <w:rsid w:val="004F464F"/>
    <w:rsid w:val="004F5B1C"/>
    <w:rsid w:val="005018EE"/>
    <w:rsid w:val="00503367"/>
    <w:rsid w:val="0050339B"/>
    <w:rsid w:val="005033FB"/>
    <w:rsid w:val="005052E0"/>
    <w:rsid w:val="00505359"/>
    <w:rsid w:val="00506C59"/>
    <w:rsid w:val="00506C78"/>
    <w:rsid w:val="00507318"/>
    <w:rsid w:val="00507C7B"/>
    <w:rsid w:val="00512A35"/>
    <w:rsid w:val="005138D6"/>
    <w:rsid w:val="00515110"/>
    <w:rsid w:val="005161AB"/>
    <w:rsid w:val="00516E35"/>
    <w:rsid w:val="00520AEE"/>
    <w:rsid w:val="00525996"/>
    <w:rsid w:val="00526221"/>
    <w:rsid w:val="00526E83"/>
    <w:rsid w:val="00527DB6"/>
    <w:rsid w:val="00531839"/>
    <w:rsid w:val="00532A05"/>
    <w:rsid w:val="00533317"/>
    <w:rsid w:val="00536836"/>
    <w:rsid w:val="005372DC"/>
    <w:rsid w:val="0054036A"/>
    <w:rsid w:val="00541628"/>
    <w:rsid w:val="00543862"/>
    <w:rsid w:val="00545F1D"/>
    <w:rsid w:val="005502E8"/>
    <w:rsid w:val="005510E2"/>
    <w:rsid w:val="0055199F"/>
    <w:rsid w:val="00551B25"/>
    <w:rsid w:val="005522D9"/>
    <w:rsid w:val="00552F96"/>
    <w:rsid w:val="005544DD"/>
    <w:rsid w:val="00555663"/>
    <w:rsid w:val="00556837"/>
    <w:rsid w:val="00557914"/>
    <w:rsid w:val="00560111"/>
    <w:rsid w:val="005609F2"/>
    <w:rsid w:val="00560B1D"/>
    <w:rsid w:val="00561643"/>
    <w:rsid w:val="00563207"/>
    <w:rsid w:val="00564E65"/>
    <w:rsid w:val="005658DE"/>
    <w:rsid w:val="005662D8"/>
    <w:rsid w:val="00566810"/>
    <w:rsid w:val="00566E9F"/>
    <w:rsid w:val="0056731C"/>
    <w:rsid w:val="005700E8"/>
    <w:rsid w:val="00570E4E"/>
    <w:rsid w:val="00571785"/>
    <w:rsid w:val="00572C95"/>
    <w:rsid w:val="005755D8"/>
    <w:rsid w:val="005837C8"/>
    <w:rsid w:val="00583B11"/>
    <w:rsid w:val="005843EC"/>
    <w:rsid w:val="005848E2"/>
    <w:rsid w:val="00584E7A"/>
    <w:rsid w:val="0058536C"/>
    <w:rsid w:val="00586A74"/>
    <w:rsid w:val="00586EAA"/>
    <w:rsid w:val="00587F5D"/>
    <w:rsid w:val="00590507"/>
    <w:rsid w:val="005907A3"/>
    <w:rsid w:val="00592077"/>
    <w:rsid w:val="005941ED"/>
    <w:rsid w:val="005948CA"/>
    <w:rsid w:val="005965CC"/>
    <w:rsid w:val="005A34A2"/>
    <w:rsid w:val="005A580D"/>
    <w:rsid w:val="005A69EC"/>
    <w:rsid w:val="005A77E4"/>
    <w:rsid w:val="005B030F"/>
    <w:rsid w:val="005B0BEA"/>
    <w:rsid w:val="005B0F99"/>
    <w:rsid w:val="005B1BE7"/>
    <w:rsid w:val="005B1F63"/>
    <w:rsid w:val="005B2664"/>
    <w:rsid w:val="005B316D"/>
    <w:rsid w:val="005B456D"/>
    <w:rsid w:val="005B4FD3"/>
    <w:rsid w:val="005B63E1"/>
    <w:rsid w:val="005B702E"/>
    <w:rsid w:val="005B7604"/>
    <w:rsid w:val="005B7AC9"/>
    <w:rsid w:val="005C240B"/>
    <w:rsid w:val="005C3BE8"/>
    <w:rsid w:val="005C3FBF"/>
    <w:rsid w:val="005C5140"/>
    <w:rsid w:val="005C516D"/>
    <w:rsid w:val="005C5D95"/>
    <w:rsid w:val="005C70C5"/>
    <w:rsid w:val="005C7F98"/>
    <w:rsid w:val="005D00F1"/>
    <w:rsid w:val="005D0197"/>
    <w:rsid w:val="005D11B8"/>
    <w:rsid w:val="005D20F2"/>
    <w:rsid w:val="005D2F07"/>
    <w:rsid w:val="005D5B2B"/>
    <w:rsid w:val="005D6A61"/>
    <w:rsid w:val="005D6F19"/>
    <w:rsid w:val="005D71C7"/>
    <w:rsid w:val="005D72C4"/>
    <w:rsid w:val="005D73EA"/>
    <w:rsid w:val="005E496E"/>
    <w:rsid w:val="005E51B0"/>
    <w:rsid w:val="005E76A2"/>
    <w:rsid w:val="005F2AEC"/>
    <w:rsid w:val="005F332E"/>
    <w:rsid w:val="005F43A0"/>
    <w:rsid w:val="005F5941"/>
    <w:rsid w:val="00600148"/>
    <w:rsid w:val="00601FAF"/>
    <w:rsid w:val="00602198"/>
    <w:rsid w:val="00605537"/>
    <w:rsid w:val="00605ADC"/>
    <w:rsid w:val="00606322"/>
    <w:rsid w:val="0060685F"/>
    <w:rsid w:val="00607854"/>
    <w:rsid w:val="006104FF"/>
    <w:rsid w:val="00610E43"/>
    <w:rsid w:val="00612208"/>
    <w:rsid w:val="00615892"/>
    <w:rsid w:val="00616474"/>
    <w:rsid w:val="00617068"/>
    <w:rsid w:val="00621C89"/>
    <w:rsid w:val="006226C4"/>
    <w:rsid w:val="006249B1"/>
    <w:rsid w:val="00625C05"/>
    <w:rsid w:val="006304E3"/>
    <w:rsid w:val="00632CC4"/>
    <w:rsid w:val="0063303C"/>
    <w:rsid w:val="00634A12"/>
    <w:rsid w:val="006360CE"/>
    <w:rsid w:val="00637EC0"/>
    <w:rsid w:val="0064016A"/>
    <w:rsid w:val="00640B63"/>
    <w:rsid w:val="006437C2"/>
    <w:rsid w:val="0064447A"/>
    <w:rsid w:val="006467EC"/>
    <w:rsid w:val="00646952"/>
    <w:rsid w:val="00647C70"/>
    <w:rsid w:val="006509CA"/>
    <w:rsid w:val="00654288"/>
    <w:rsid w:val="00655E2A"/>
    <w:rsid w:val="0065732E"/>
    <w:rsid w:val="00661ADC"/>
    <w:rsid w:val="00662BFB"/>
    <w:rsid w:val="0066449A"/>
    <w:rsid w:val="006663EA"/>
    <w:rsid w:val="0066774A"/>
    <w:rsid w:val="00670D22"/>
    <w:rsid w:val="00671DFF"/>
    <w:rsid w:val="00671FB7"/>
    <w:rsid w:val="0067305A"/>
    <w:rsid w:val="00677455"/>
    <w:rsid w:val="00677EFC"/>
    <w:rsid w:val="00682C09"/>
    <w:rsid w:val="00683CB8"/>
    <w:rsid w:val="00686191"/>
    <w:rsid w:val="00687060"/>
    <w:rsid w:val="00690885"/>
    <w:rsid w:val="0069187E"/>
    <w:rsid w:val="00691AA1"/>
    <w:rsid w:val="00691AA6"/>
    <w:rsid w:val="00691ACA"/>
    <w:rsid w:val="00692E8E"/>
    <w:rsid w:val="0069308A"/>
    <w:rsid w:val="00694243"/>
    <w:rsid w:val="00694529"/>
    <w:rsid w:val="006945BA"/>
    <w:rsid w:val="00695D1B"/>
    <w:rsid w:val="006A0CEB"/>
    <w:rsid w:val="006A1545"/>
    <w:rsid w:val="006A2B7C"/>
    <w:rsid w:val="006A376B"/>
    <w:rsid w:val="006A7FFE"/>
    <w:rsid w:val="006B0FC9"/>
    <w:rsid w:val="006B380D"/>
    <w:rsid w:val="006B45AF"/>
    <w:rsid w:val="006B468A"/>
    <w:rsid w:val="006B4C8C"/>
    <w:rsid w:val="006B6DBE"/>
    <w:rsid w:val="006B77A1"/>
    <w:rsid w:val="006C13CB"/>
    <w:rsid w:val="006C2510"/>
    <w:rsid w:val="006C359A"/>
    <w:rsid w:val="006C3972"/>
    <w:rsid w:val="006C4230"/>
    <w:rsid w:val="006C6B80"/>
    <w:rsid w:val="006D1ABD"/>
    <w:rsid w:val="006D1D25"/>
    <w:rsid w:val="006D5475"/>
    <w:rsid w:val="006D65A7"/>
    <w:rsid w:val="006D6668"/>
    <w:rsid w:val="006D6B71"/>
    <w:rsid w:val="006D6F69"/>
    <w:rsid w:val="006E10B5"/>
    <w:rsid w:val="006E211D"/>
    <w:rsid w:val="006E24A7"/>
    <w:rsid w:val="006E34AD"/>
    <w:rsid w:val="006E7061"/>
    <w:rsid w:val="006E7756"/>
    <w:rsid w:val="006F312B"/>
    <w:rsid w:val="006F3238"/>
    <w:rsid w:val="006F47FF"/>
    <w:rsid w:val="006F6007"/>
    <w:rsid w:val="006F6045"/>
    <w:rsid w:val="006F65AB"/>
    <w:rsid w:val="006F70C2"/>
    <w:rsid w:val="00700C53"/>
    <w:rsid w:val="00700DFF"/>
    <w:rsid w:val="00701329"/>
    <w:rsid w:val="007030BE"/>
    <w:rsid w:val="00703181"/>
    <w:rsid w:val="00705CCE"/>
    <w:rsid w:val="00706989"/>
    <w:rsid w:val="007074CA"/>
    <w:rsid w:val="00707DA1"/>
    <w:rsid w:val="007109C4"/>
    <w:rsid w:val="00710C7A"/>
    <w:rsid w:val="007111DB"/>
    <w:rsid w:val="0071299A"/>
    <w:rsid w:val="00713178"/>
    <w:rsid w:val="007135A3"/>
    <w:rsid w:val="007141BF"/>
    <w:rsid w:val="00714D86"/>
    <w:rsid w:val="00715335"/>
    <w:rsid w:val="00716217"/>
    <w:rsid w:val="0071639B"/>
    <w:rsid w:val="0071661B"/>
    <w:rsid w:val="007215C0"/>
    <w:rsid w:val="007220E9"/>
    <w:rsid w:val="007237E3"/>
    <w:rsid w:val="0072557C"/>
    <w:rsid w:val="00726FA3"/>
    <w:rsid w:val="00730B05"/>
    <w:rsid w:val="00731B42"/>
    <w:rsid w:val="00731F30"/>
    <w:rsid w:val="00734B5E"/>
    <w:rsid w:val="00734B97"/>
    <w:rsid w:val="00734C62"/>
    <w:rsid w:val="00734E33"/>
    <w:rsid w:val="00737701"/>
    <w:rsid w:val="007403A6"/>
    <w:rsid w:val="007457CA"/>
    <w:rsid w:val="0074652F"/>
    <w:rsid w:val="0074667E"/>
    <w:rsid w:val="007467B9"/>
    <w:rsid w:val="00746ED5"/>
    <w:rsid w:val="00747EED"/>
    <w:rsid w:val="00750B14"/>
    <w:rsid w:val="00753F4E"/>
    <w:rsid w:val="007543E6"/>
    <w:rsid w:val="00754F33"/>
    <w:rsid w:val="00755504"/>
    <w:rsid w:val="00755701"/>
    <w:rsid w:val="0075577D"/>
    <w:rsid w:val="00756F7D"/>
    <w:rsid w:val="00757620"/>
    <w:rsid w:val="00761211"/>
    <w:rsid w:val="00763E89"/>
    <w:rsid w:val="00764659"/>
    <w:rsid w:val="007647FD"/>
    <w:rsid w:val="00764C37"/>
    <w:rsid w:val="00764EE8"/>
    <w:rsid w:val="00765DFC"/>
    <w:rsid w:val="007664F9"/>
    <w:rsid w:val="00767853"/>
    <w:rsid w:val="00770C01"/>
    <w:rsid w:val="00772F67"/>
    <w:rsid w:val="0077421A"/>
    <w:rsid w:val="0077539A"/>
    <w:rsid w:val="00775596"/>
    <w:rsid w:val="00776657"/>
    <w:rsid w:val="00780C91"/>
    <w:rsid w:val="00781933"/>
    <w:rsid w:val="00783768"/>
    <w:rsid w:val="00783A1D"/>
    <w:rsid w:val="00785BAA"/>
    <w:rsid w:val="00785BCA"/>
    <w:rsid w:val="0078610C"/>
    <w:rsid w:val="00790C4F"/>
    <w:rsid w:val="007923FA"/>
    <w:rsid w:val="00793D0B"/>
    <w:rsid w:val="007946C2"/>
    <w:rsid w:val="00796D66"/>
    <w:rsid w:val="00797C5A"/>
    <w:rsid w:val="007A0948"/>
    <w:rsid w:val="007A0E9C"/>
    <w:rsid w:val="007A13AE"/>
    <w:rsid w:val="007A1B0E"/>
    <w:rsid w:val="007A20F7"/>
    <w:rsid w:val="007A3DEB"/>
    <w:rsid w:val="007A7AFE"/>
    <w:rsid w:val="007B0C83"/>
    <w:rsid w:val="007B166A"/>
    <w:rsid w:val="007B2DF8"/>
    <w:rsid w:val="007B6DFD"/>
    <w:rsid w:val="007C0260"/>
    <w:rsid w:val="007C0E36"/>
    <w:rsid w:val="007C18D6"/>
    <w:rsid w:val="007C1E0C"/>
    <w:rsid w:val="007C2F81"/>
    <w:rsid w:val="007C34D4"/>
    <w:rsid w:val="007C4915"/>
    <w:rsid w:val="007C4B2B"/>
    <w:rsid w:val="007C614B"/>
    <w:rsid w:val="007C624C"/>
    <w:rsid w:val="007C67C3"/>
    <w:rsid w:val="007C6D0C"/>
    <w:rsid w:val="007D16DC"/>
    <w:rsid w:val="007D3127"/>
    <w:rsid w:val="007D3B63"/>
    <w:rsid w:val="007D43EF"/>
    <w:rsid w:val="007D4BF7"/>
    <w:rsid w:val="007D569F"/>
    <w:rsid w:val="007D5AA1"/>
    <w:rsid w:val="007D5E33"/>
    <w:rsid w:val="007D6B98"/>
    <w:rsid w:val="007E0E58"/>
    <w:rsid w:val="007E21A7"/>
    <w:rsid w:val="007E2890"/>
    <w:rsid w:val="007E297B"/>
    <w:rsid w:val="007E372F"/>
    <w:rsid w:val="007E39C8"/>
    <w:rsid w:val="007E43F5"/>
    <w:rsid w:val="007E47A5"/>
    <w:rsid w:val="007E4C80"/>
    <w:rsid w:val="007E77A7"/>
    <w:rsid w:val="007F02DA"/>
    <w:rsid w:val="007F21A5"/>
    <w:rsid w:val="007F21C9"/>
    <w:rsid w:val="007F3AD9"/>
    <w:rsid w:val="007F4241"/>
    <w:rsid w:val="007F4962"/>
    <w:rsid w:val="007F4C17"/>
    <w:rsid w:val="007F50EC"/>
    <w:rsid w:val="007F764D"/>
    <w:rsid w:val="00800A6C"/>
    <w:rsid w:val="008013B4"/>
    <w:rsid w:val="00806148"/>
    <w:rsid w:val="00812441"/>
    <w:rsid w:val="00812B55"/>
    <w:rsid w:val="00812B5B"/>
    <w:rsid w:val="008131DB"/>
    <w:rsid w:val="00816CB9"/>
    <w:rsid w:val="0081749D"/>
    <w:rsid w:val="008178CE"/>
    <w:rsid w:val="00817AC4"/>
    <w:rsid w:val="008215F5"/>
    <w:rsid w:val="00822582"/>
    <w:rsid w:val="00822883"/>
    <w:rsid w:val="00826998"/>
    <w:rsid w:val="0082738E"/>
    <w:rsid w:val="008275CC"/>
    <w:rsid w:val="008278BD"/>
    <w:rsid w:val="0082791D"/>
    <w:rsid w:val="008317B9"/>
    <w:rsid w:val="00831D79"/>
    <w:rsid w:val="00832D7A"/>
    <w:rsid w:val="00832E51"/>
    <w:rsid w:val="00833546"/>
    <w:rsid w:val="00835349"/>
    <w:rsid w:val="008405C0"/>
    <w:rsid w:val="00840CFE"/>
    <w:rsid w:val="008411EF"/>
    <w:rsid w:val="008421CA"/>
    <w:rsid w:val="00842B25"/>
    <w:rsid w:val="0084410D"/>
    <w:rsid w:val="00845769"/>
    <w:rsid w:val="008466FE"/>
    <w:rsid w:val="00850ACD"/>
    <w:rsid w:val="00850B65"/>
    <w:rsid w:val="00853E6E"/>
    <w:rsid w:val="0085497C"/>
    <w:rsid w:val="00855990"/>
    <w:rsid w:val="00856443"/>
    <w:rsid w:val="00857970"/>
    <w:rsid w:val="00860146"/>
    <w:rsid w:val="008605C2"/>
    <w:rsid w:val="00860B80"/>
    <w:rsid w:val="00860F80"/>
    <w:rsid w:val="00861831"/>
    <w:rsid w:val="00862223"/>
    <w:rsid w:val="00863CA2"/>
    <w:rsid w:val="00865063"/>
    <w:rsid w:val="008660A6"/>
    <w:rsid w:val="008661BF"/>
    <w:rsid w:val="0087031E"/>
    <w:rsid w:val="008710D7"/>
    <w:rsid w:val="0087211F"/>
    <w:rsid w:val="008741C6"/>
    <w:rsid w:val="008742A8"/>
    <w:rsid w:val="00874863"/>
    <w:rsid w:val="00876050"/>
    <w:rsid w:val="008760CD"/>
    <w:rsid w:val="00877EB9"/>
    <w:rsid w:val="008805E2"/>
    <w:rsid w:val="00880974"/>
    <w:rsid w:val="00886F83"/>
    <w:rsid w:val="008874F1"/>
    <w:rsid w:val="008875D3"/>
    <w:rsid w:val="008875EC"/>
    <w:rsid w:val="00892F68"/>
    <w:rsid w:val="00894387"/>
    <w:rsid w:val="0089443C"/>
    <w:rsid w:val="00895A07"/>
    <w:rsid w:val="00897F4E"/>
    <w:rsid w:val="008A13B1"/>
    <w:rsid w:val="008A5A7C"/>
    <w:rsid w:val="008A6569"/>
    <w:rsid w:val="008B22FA"/>
    <w:rsid w:val="008B4D8A"/>
    <w:rsid w:val="008B5969"/>
    <w:rsid w:val="008C0335"/>
    <w:rsid w:val="008C1125"/>
    <w:rsid w:val="008C341F"/>
    <w:rsid w:val="008C3A21"/>
    <w:rsid w:val="008D0588"/>
    <w:rsid w:val="008D07DB"/>
    <w:rsid w:val="008D2BA8"/>
    <w:rsid w:val="008D2C64"/>
    <w:rsid w:val="008D513A"/>
    <w:rsid w:val="008D58FE"/>
    <w:rsid w:val="008D743E"/>
    <w:rsid w:val="008D75E4"/>
    <w:rsid w:val="008D7F5A"/>
    <w:rsid w:val="008E01FF"/>
    <w:rsid w:val="008E10E1"/>
    <w:rsid w:val="008E12BB"/>
    <w:rsid w:val="008E1CB5"/>
    <w:rsid w:val="008E1FCE"/>
    <w:rsid w:val="008E3E4B"/>
    <w:rsid w:val="008E50AD"/>
    <w:rsid w:val="008E7AA8"/>
    <w:rsid w:val="008F0B5F"/>
    <w:rsid w:val="008F2CA7"/>
    <w:rsid w:val="008F5288"/>
    <w:rsid w:val="008F52BD"/>
    <w:rsid w:val="008F5C9C"/>
    <w:rsid w:val="008F5E3F"/>
    <w:rsid w:val="008F71BB"/>
    <w:rsid w:val="00901523"/>
    <w:rsid w:val="009032D9"/>
    <w:rsid w:val="00904979"/>
    <w:rsid w:val="0090497B"/>
    <w:rsid w:val="0090598A"/>
    <w:rsid w:val="00905A88"/>
    <w:rsid w:val="00906BF5"/>
    <w:rsid w:val="0091086B"/>
    <w:rsid w:val="00912563"/>
    <w:rsid w:val="00912C83"/>
    <w:rsid w:val="00913AA5"/>
    <w:rsid w:val="00913D52"/>
    <w:rsid w:val="00914364"/>
    <w:rsid w:val="00916ED1"/>
    <w:rsid w:val="0092173E"/>
    <w:rsid w:val="00924350"/>
    <w:rsid w:val="00926508"/>
    <w:rsid w:val="00927391"/>
    <w:rsid w:val="00930F18"/>
    <w:rsid w:val="009355DC"/>
    <w:rsid w:val="00935701"/>
    <w:rsid w:val="0094003E"/>
    <w:rsid w:val="009423FB"/>
    <w:rsid w:val="00942A08"/>
    <w:rsid w:val="00943C02"/>
    <w:rsid w:val="00944ED1"/>
    <w:rsid w:val="0094516E"/>
    <w:rsid w:val="009459D0"/>
    <w:rsid w:val="009500E8"/>
    <w:rsid w:val="00952463"/>
    <w:rsid w:val="00952C0A"/>
    <w:rsid w:val="00953457"/>
    <w:rsid w:val="00953DFD"/>
    <w:rsid w:val="00954A94"/>
    <w:rsid w:val="00955138"/>
    <w:rsid w:val="00955869"/>
    <w:rsid w:val="00955BC4"/>
    <w:rsid w:val="00957C66"/>
    <w:rsid w:val="00960B5E"/>
    <w:rsid w:val="00961373"/>
    <w:rsid w:val="00963258"/>
    <w:rsid w:val="009643AD"/>
    <w:rsid w:val="0096467B"/>
    <w:rsid w:val="00964CF3"/>
    <w:rsid w:val="009652F9"/>
    <w:rsid w:val="0096783E"/>
    <w:rsid w:val="00967937"/>
    <w:rsid w:val="0097024B"/>
    <w:rsid w:val="009704BC"/>
    <w:rsid w:val="00972011"/>
    <w:rsid w:val="00975C35"/>
    <w:rsid w:val="00976897"/>
    <w:rsid w:val="00977F77"/>
    <w:rsid w:val="00980724"/>
    <w:rsid w:val="00983B4C"/>
    <w:rsid w:val="009862EA"/>
    <w:rsid w:val="0098728D"/>
    <w:rsid w:val="009912D2"/>
    <w:rsid w:val="00992607"/>
    <w:rsid w:val="00992A08"/>
    <w:rsid w:val="00996E8B"/>
    <w:rsid w:val="00997A14"/>
    <w:rsid w:val="009A15A2"/>
    <w:rsid w:val="009A20AD"/>
    <w:rsid w:val="009A2634"/>
    <w:rsid w:val="009A27AA"/>
    <w:rsid w:val="009A4845"/>
    <w:rsid w:val="009A54AC"/>
    <w:rsid w:val="009A5DF2"/>
    <w:rsid w:val="009A6372"/>
    <w:rsid w:val="009A6EC8"/>
    <w:rsid w:val="009B07F3"/>
    <w:rsid w:val="009B1637"/>
    <w:rsid w:val="009B181E"/>
    <w:rsid w:val="009B267F"/>
    <w:rsid w:val="009B3532"/>
    <w:rsid w:val="009B5A3B"/>
    <w:rsid w:val="009B63F8"/>
    <w:rsid w:val="009B7838"/>
    <w:rsid w:val="009B7B04"/>
    <w:rsid w:val="009C04CC"/>
    <w:rsid w:val="009C243C"/>
    <w:rsid w:val="009C25AC"/>
    <w:rsid w:val="009C333A"/>
    <w:rsid w:val="009C3673"/>
    <w:rsid w:val="009C3ABF"/>
    <w:rsid w:val="009C5023"/>
    <w:rsid w:val="009D2FD2"/>
    <w:rsid w:val="009D328F"/>
    <w:rsid w:val="009D345F"/>
    <w:rsid w:val="009D36AC"/>
    <w:rsid w:val="009D53DD"/>
    <w:rsid w:val="009D55EC"/>
    <w:rsid w:val="009D66E4"/>
    <w:rsid w:val="009D6A2A"/>
    <w:rsid w:val="009D6ECB"/>
    <w:rsid w:val="009E0AAD"/>
    <w:rsid w:val="009E0CA7"/>
    <w:rsid w:val="009E0FBB"/>
    <w:rsid w:val="009E24C1"/>
    <w:rsid w:val="009E25B8"/>
    <w:rsid w:val="009E581B"/>
    <w:rsid w:val="009E6EB5"/>
    <w:rsid w:val="009E7EA5"/>
    <w:rsid w:val="009F14E6"/>
    <w:rsid w:val="009F1E1D"/>
    <w:rsid w:val="009F2202"/>
    <w:rsid w:val="009F3746"/>
    <w:rsid w:val="009F3B0F"/>
    <w:rsid w:val="009F550A"/>
    <w:rsid w:val="009F59D0"/>
    <w:rsid w:val="009F72A4"/>
    <w:rsid w:val="009F7632"/>
    <w:rsid w:val="00A02B70"/>
    <w:rsid w:val="00A02F38"/>
    <w:rsid w:val="00A045C3"/>
    <w:rsid w:val="00A0515D"/>
    <w:rsid w:val="00A063D6"/>
    <w:rsid w:val="00A06E27"/>
    <w:rsid w:val="00A11569"/>
    <w:rsid w:val="00A13A9D"/>
    <w:rsid w:val="00A14EB2"/>
    <w:rsid w:val="00A165C7"/>
    <w:rsid w:val="00A16617"/>
    <w:rsid w:val="00A1747E"/>
    <w:rsid w:val="00A20CF5"/>
    <w:rsid w:val="00A223E8"/>
    <w:rsid w:val="00A226B1"/>
    <w:rsid w:val="00A245DE"/>
    <w:rsid w:val="00A25806"/>
    <w:rsid w:val="00A26944"/>
    <w:rsid w:val="00A27422"/>
    <w:rsid w:val="00A27655"/>
    <w:rsid w:val="00A31243"/>
    <w:rsid w:val="00A315BD"/>
    <w:rsid w:val="00A31D25"/>
    <w:rsid w:val="00A340EE"/>
    <w:rsid w:val="00A340F1"/>
    <w:rsid w:val="00A3579B"/>
    <w:rsid w:val="00A35CB6"/>
    <w:rsid w:val="00A36828"/>
    <w:rsid w:val="00A3780D"/>
    <w:rsid w:val="00A41D0D"/>
    <w:rsid w:val="00A42723"/>
    <w:rsid w:val="00A42A28"/>
    <w:rsid w:val="00A44BF9"/>
    <w:rsid w:val="00A4737F"/>
    <w:rsid w:val="00A51C86"/>
    <w:rsid w:val="00A53BB7"/>
    <w:rsid w:val="00A54306"/>
    <w:rsid w:val="00A543DB"/>
    <w:rsid w:val="00A56E56"/>
    <w:rsid w:val="00A61885"/>
    <w:rsid w:val="00A628FE"/>
    <w:rsid w:val="00A65749"/>
    <w:rsid w:val="00A658A4"/>
    <w:rsid w:val="00A65969"/>
    <w:rsid w:val="00A65CF0"/>
    <w:rsid w:val="00A6778C"/>
    <w:rsid w:val="00A70B8E"/>
    <w:rsid w:val="00A7103D"/>
    <w:rsid w:val="00A7107F"/>
    <w:rsid w:val="00A713AE"/>
    <w:rsid w:val="00A7170F"/>
    <w:rsid w:val="00A7179D"/>
    <w:rsid w:val="00A724D0"/>
    <w:rsid w:val="00A7427B"/>
    <w:rsid w:val="00A74482"/>
    <w:rsid w:val="00A758FA"/>
    <w:rsid w:val="00A77BA9"/>
    <w:rsid w:val="00A82C59"/>
    <w:rsid w:val="00A8311F"/>
    <w:rsid w:val="00A851ED"/>
    <w:rsid w:val="00A868F6"/>
    <w:rsid w:val="00A8748C"/>
    <w:rsid w:val="00A911A8"/>
    <w:rsid w:val="00A92801"/>
    <w:rsid w:val="00A947D8"/>
    <w:rsid w:val="00A949AC"/>
    <w:rsid w:val="00A94B84"/>
    <w:rsid w:val="00A950BB"/>
    <w:rsid w:val="00A960EF"/>
    <w:rsid w:val="00AA02E8"/>
    <w:rsid w:val="00AA0781"/>
    <w:rsid w:val="00AA13AB"/>
    <w:rsid w:val="00AA43CF"/>
    <w:rsid w:val="00AB13DF"/>
    <w:rsid w:val="00AB1688"/>
    <w:rsid w:val="00AB3E7C"/>
    <w:rsid w:val="00AB48B1"/>
    <w:rsid w:val="00AB49AC"/>
    <w:rsid w:val="00AB55DB"/>
    <w:rsid w:val="00AB5724"/>
    <w:rsid w:val="00AB6803"/>
    <w:rsid w:val="00AB7582"/>
    <w:rsid w:val="00AC02F7"/>
    <w:rsid w:val="00AC076E"/>
    <w:rsid w:val="00AC2DF4"/>
    <w:rsid w:val="00AC4CD8"/>
    <w:rsid w:val="00AC6F47"/>
    <w:rsid w:val="00AC6FDA"/>
    <w:rsid w:val="00AC72EF"/>
    <w:rsid w:val="00AC772A"/>
    <w:rsid w:val="00AC7C35"/>
    <w:rsid w:val="00AC7F52"/>
    <w:rsid w:val="00AD0CA2"/>
    <w:rsid w:val="00AD2233"/>
    <w:rsid w:val="00AD25AA"/>
    <w:rsid w:val="00AD2C3C"/>
    <w:rsid w:val="00AD32B6"/>
    <w:rsid w:val="00AD5E62"/>
    <w:rsid w:val="00AD615C"/>
    <w:rsid w:val="00AD6864"/>
    <w:rsid w:val="00AE1705"/>
    <w:rsid w:val="00AE41EF"/>
    <w:rsid w:val="00AE4551"/>
    <w:rsid w:val="00AE4B88"/>
    <w:rsid w:val="00AE52C0"/>
    <w:rsid w:val="00AE7D85"/>
    <w:rsid w:val="00AE7E31"/>
    <w:rsid w:val="00AE7EB0"/>
    <w:rsid w:val="00AF0012"/>
    <w:rsid w:val="00AF05DD"/>
    <w:rsid w:val="00AF1419"/>
    <w:rsid w:val="00AF1C3B"/>
    <w:rsid w:val="00AF1E0C"/>
    <w:rsid w:val="00AF21B3"/>
    <w:rsid w:val="00AF3C9E"/>
    <w:rsid w:val="00AF3E32"/>
    <w:rsid w:val="00AF483A"/>
    <w:rsid w:val="00AF48C6"/>
    <w:rsid w:val="00AF49BF"/>
    <w:rsid w:val="00AF6C0F"/>
    <w:rsid w:val="00AF7652"/>
    <w:rsid w:val="00B00B54"/>
    <w:rsid w:val="00B01811"/>
    <w:rsid w:val="00B07760"/>
    <w:rsid w:val="00B103F9"/>
    <w:rsid w:val="00B12642"/>
    <w:rsid w:val="00B1273E"/>
    <w:rsid w:val="00B13270"/>
    <w:rsid w:val="00B13500"/>
    <w:rsid w:val="00B14B75"/>
    <w:rsid w:val="00B14F3F"/>
    <w:rsid w:val="00B164BF"/>
    <w:rsid w:val="00B179DA"/>
    <w:rsid w:val="00B17ED0"/>
    <w:rsid w:val="00B21756"/>
    <w:rsid w:val="00B21DF6"/>
    <w:rsid w:val="00B220B2"/>
    <w:rsid w:val="00B23761"/>
    <w:rsid w:val="00B24F50"/>
    <w:rsid w:val="00B265DD"/>
    <w:rsid w:val="00B2780C"/>
    <w:rsid w:val="00B3292F"/>
    <w:rsid w:val="00B33E15"/>
    <w:rsid w:val="00B3582F"/>
    <w:rsid w:val="00B35F01"/>
    <w:rsid w:val="00B36C95"/>
    <w:rsid w:val="00B36EDE"/>
    <w:rsid w:val="00B40B6D"/>
    <w:rsid w:val="00B40E6D"/>
    <w:rsid w:val="00B4173D"/>
    <w:rsid w:val="00B431D9"/>
    <w:rsid w:val="00B47DB5"/>
    <w:rsid w:val="00B54234"/>
    <w:rsid w:val="00B55DF7"/>
    <w:rsid w:val="00B61326"/>
    <w:rsid w:val="00B6278F"/>
    <w:rsid w:val="00B71580"/>
    <w:rsid w:val="00B71988"/>
    <w:rsid w:val="00B72229"/>
    <w:rsid w:val="00B72788"/>
    <w:rsid w:val="00B72AF1"/>
    <w:rsid w:val="00B72C4B"/>
    <w:rsid w:val="00B73396"/>
    <w:rsid w:val="00B73499"/>
    <w:rsid w:val="00B74782"/>
    <w:rsid w:val="00B75D45"/>
    <w:rsid w:val="00B77788"/>
    <w:rsid w:val="00B77932"/>
    <w:rsid w:val="00B82819"/>
    <w:rsid w:val="00B836C0"/>
    <w:rsid w:val="00B83A3B"/>
    <w:rsid w:val="00B83A46"/>
    <w:rsid w:val="00B87587"/>
    <w:rsid w:val="00B91AA3"/>
    <w:rsid w:val="00B91BC6"/>
    <w:rsid w:val="00B92B81"/>
    <w:rsid w:val="00B93FA1"/>
    <w:rsid w:val="00B943C7"/>
    <w:rsid w:val="00B96B47"/>
    <w:rsid w:val="00BA0B95"/>
    <w:rsid w:val="00BA349C"/>
    <w:rsid w:val="00BA39C7"/>
    <w:rsid w:val="00BA3B2E"/>
    <w:rsid w:val="00BA5043"/>
    <w:rsid w:val="00BA69F4"/>
    <w:rsid w:val="00BB0C8E"/>
    <w:rsid w:val="00BB3700"/>
    <w:rsid w:val="00BB375F"/>
    <w:rsid w:val="00BB5711"/>
    <w:rsid w:val="00BB58DA"/>
    <w:rsid w:val="00BB729F"/>
    <w:rsid w:val="00BC1199"/>
    <w:rsid w:val="00BC1ABA"/>
    <w:rsid w:val="00BC2934"/>
    <w:rsid w:val="00BC2E8F"/>
    <w:rsid w:val="00BC60A2"/>
    <w:rsid w:val="00BC7550"/>
    <w:rsid w:val="00BD032F"/>
    <w:rsid w:val="00BD2D5C"/>
    <w:rsid w:val="00BD7BA1"/>
    <w:rsid w:val="00BE19B6"/>
    <w:rsid w:val="00BE3313"/>
    <w:rsid w:val="00BE40A8"/>
    <w:rsid w:val="00BE7C85"/>
    <w:rsid w:val="00BF194C"/>
    <w:rsid w:val="00BF1ADE"/>
    <w:rsid w:val="00BF3A00"/>
    <w:rsid w:val="00BF3C58"/>
    <w:rsid w:val="00BF55D1"/>
    <w:rsid w:val="00C00E74"/>
    <w:rsid w:val="00C0152E"/>
    <w:rsid w:val="00C01BF5"/>
    <w:rsid w:val="00C03108"/>
    <w:rsid w:val="00C079C1"/>
    <w:rsid w:val="00C07B6F"/>
    <w:rsid w:val="00C1003A"/>
    <w:rsid w:val="00C113E6"/>
    <w:rsid w:val="00C11A68"/>
    <w:rsid w:val="00C11B57"/>
    <w:rsid w:val="00C12200"/>
    <w:rsid w:val="00C130FC"/>
    <w:rsid w:val="00C159A9"/>
    <w:rsid w:val="00C16B22"/>
    <w:rsid w:val="00C1707A"/>
    <w:rsid w:val="00C22F07"/>
    <w:rsid w:val="00C23546"/>
    <w:rsid w:val="00C240E0"/>
    <w:rsid w:val="00C25C8C"/>
    <w:rsid w:val="00C2625D"/>
    <w:rsid w:val="00C27210"/>
    <w:rsid w:val="00C27C5A"/>
    <w:rsid w:val="00C3051D"/>
    <w:rsid w:val="00C314E2"/>
    <w:rsid w:val="00C32279"/>
    <w:rsid w:val="00C32DDE"/>
    <w:rsid w:val="00C33028"/>
    <w:rsid w:val="00C33529"/>
    <w:rsid w:val="00C34E4D"/>
    <w:rsid w:val="00C358BA"/>
    <w:rsid w:val="00C359C0"/>
    <w:rsid w:val="00C36822"/>
    <w:rsid w:val="00C3706F"/>
    <w:rsid w:val="00C3723A"/>
    <w:rsid w:val="00C4068D"/>
    <w:rsid w:val="00C41C2A"/>
    <w:rsid w:val="00C453EB"/>
    <w:rsid w:val="00C4546C"/>
    <w:rsid w:val="00C46326"/>
    <w:rsid w:val="00C4698B"/>
    <w:rsid w:val="00C46A6F"/>
    <w:rsid w:val="00C4797E"/>
    <w:rsid w:val="00C50F4B"/>
    <w:rsid w:val="00C51DE3"/>
    <w:rsid w:val="00C5232C"/>
    <w:rsid w:val="00C55907"/>
    <w:rsid w:val="00C57787"/>
    <w:rsid w:val="00C6360A"/>
    <w:rsid w:val="00C63678"/>
    <w:rsid w:val="00C666A9"/>
    <w:rsid w:val="00C670B8"/>
    <w:rsid w:val="00C67A5D"/>
    <w:rsid w:val="00C70E2B"/>
    <w:rsid w:val="00C711A7"/>
    <w:rsid w:val="00C713CB"/>
    <w:rsid w:val="00C730E9"/>
    <w:rsid w:val="00C73FCD"/>
    <w:rsid w:val="00C746FD"/>
    <w:rsid w:val="00C75004"/>
    <w:rsid w:val="00C75D94"/>
    <w:rsid w:val="00C7784A"/>
    <w:rsid w:val="00C77BC5"/>
    <w:rsid w:val="00C811AC"/>
    <w:rsid w:val="00C82008"/>
    <w:rsid w:val="00C85DC6"/>
    <w:rsid w:val="00C876A0"/>
    <w:rsid w:val="00C91E07"/>
    <w:rsid w:val="00C93E11"/>
    <w:rsid w:val="00C9451B"/>
    <w:rsid w:val="00C952C3"/>
    <w:rsid w:val="00C9678F"/>
    <w:rsid w:val="00C968F3"/>
    <w:rsid w:val="00C96B7F"/>
    <w:rsid w:val="00C975FC"/>
    <w:rsid w:val="00C978AC"/>
    <w:rsid w:val="00C97A64"/>
    <w:rsid w:val="00CA2009"/>
    <w:rsid w:val="00CA252D"/>
    <w:rsid w:val="00CA3E21"/>
    <w:rsid w:val="00CA69FC"/>
    <w:rsid w:val="00CA7D14"/>
    <w:rsid w:val="00CB0800"/>
    <w:rsid w:val="00CB08C6"/>
    <w:rsid w:val="00CB1650"/>
    <w:rsid w:val="00CB434B"/>
    <w:rsid w:val="00CB4F32"/>
    <w:rsid w:val="00CC0BE8"/>
    <w:rsid w:val="00CC1EFE"/>
    <w:rsid w:val="00CC358E"/>
    <w:rsid w:val="00CC46ED"/>
    <w:rsid w:val="00CC6FDC"/>
    <w:rsid w:val="00CC7CD1"/>
    <w:rsid w:val="00CD1392"/>
    <w:rsid w:val="00CD26C4"/>
    <w:rsid w:val="00CE0A16"/>
    <w:rsid w:val="00CE3AB8"/>
    <w:rsid w:val="00CE49FA"/>
    <w:rsid w:val="00CE4F28"/>
    <w:rsid w:val="00CE558F"/>
    <w:rsid w:val="00CF2821"/>
    <w:rsid w:val="00CF3980"/>
    <w:rsid w:val="00CF3B62"/>
    <w:rsid w:val="00D032D0"/>
    <w:rsid w:val="00D0618F"/>
    <w:rsid w:val="00D065DE"/>
    <w:rsid w:val="00D0785D"/>
    <w:rsid w:val="00D11939"/>
    <w:rsid w:val="00D11D36"/>
    <w:rsid w:val="00D12F20"/>
    <w:rsid w:val="00D16162"/>
    <w:rsid w:val="00D17CF6"/>
    <w:rsid w:val="00D17DC6"/>
    <w:rsid w:val="00D20D05"/>
    <w:rsid w:val="00D227B1"/>
    <w:rsid w:val="00D236C0"/>
    <w:rsid w:val="00D23F59"/>
    <w:rsid w:val="00D24F7A"/>
    <w:rsid w:val="00D25FF5"/>
    <w:rsid w:val="00D26BC2"/>
    <w:rsid w:val="00D27621"/>
    <w:rsid w:val="00D329FF"/>
    <w:rsid w:val="00D33439"/>
    <w:rsid w:val="00D336A5"/>
    <w:rsid w:val="00D336C8"/>
    <w:rsid w:val="00D37952"/>
    <w:rsid w:val="00D405C5"/>
    <w:rsid w:val="00D40D82"/>
    <w:rsid w:val="00D427D0"/>
    <w:rsid w:val="00D42BB7"/>
    <w:rsid w:val="00D461E9"/>
    <w:rsid w:val="00D46FDD"/>
    <w:rsid w:val="00D520B1"/>
    <w:rsid w:val="00D52622"/>
    <w:rsid w:val="00D55AE5"/>
    <w:rsid w:val="00D56CE5"/>
    <w:rsid w:val="00D605F5"/>
    <w:rsid w:val="00D60966"/>
    <w:rsid w:val="00D60DA0"/>
    <w:rsid w:val="00D6403B"/>
    <w:rsid w:val="00D65D70"/>
    <w:rsid w:val="00D6634A"/>
    <w:rsid w:val="00D66F8F"/>
    <w:rsid w:val="00D67C60"/>
    <w:rsid w:val="00D70ED8"/>
    <w:rsid w:val="00D71A3A"/>
    <w:rsid w:val="00D71ADC"/>
    <w:rsid w:val="00D71CA7"/>
    <w:rsid w:val="00D7467F"/>
    <w:rsid w:val="00D74A69"/>
    <w:rsid w:val="00D74CD8"/>
    <w:rsid w:val="00D8022B"/>
    <w:rsid w:val="00D80F21"/>
    <w:rsid w:val="00D810F3"/>
    <w:rsid w:val="00D818DB"/>
    <w:rsid w:val="00D81E81"/>
    <w:rsid w:val="00D83E4F"/>
    <w:rsid w:val="00D83F8D"/>
    <w:rsid w:val="00D84507"/>
    <w:rsid w:val="00D856C3"/>
    <w:rsid w:val="00D86956"/>
    <w:rsid w:val="00D878A5"/>
    <w:rsid w:val="00D93B97"/>
    <w:rsid w:val="00D9631D"/>
    <w:rsid w:val="00D96586"/>
    <w:rsid w:val="00D968FC"/>
    <w:rsid w:val="00D976DB"/>
    <w:rsid w:val="00DA05CB"/>
    <w:rsid w:val="00DA2001"/>
    <w:rsid w:val="00DA503E"/>
    <w:rsid w:val="00DA58BC"/>
    <w:rsid w:val="00DA5F60"/>
    <w:rsid w:val="00DB1146"/>
    <w:rsid w:val="00DB19F9"/>
    <w:rsid w:val="00DB1CC1"/>
    <w:rsid w:val="00DB26D9"/>
    <w:rsid w:val="00DB2E36"/>
    <w:rsid w:val="00DB44B4"/>
    <w:rsid w:val="00DB5BE0"/>
    <w:rsid w:val="00DB5FE1"/>
    <w:rsid w:val="00DB6287"/>
    <w:rsid w:val="00DC2B4D"/>
    <w:rsid w:val="00DC3DAF"/>
    <w:rsid w:val="00DC6033"/>
    <w:rsid w:val="00DC6A46"/>
    <w:rsid w:val="00DD1414"/>
    <w:rsid w:val="00DD15FD"/>
    <w:rsid w:val="00DD4083"/>
    <w:rsid w:val="00DD57C3"/>
    <w:rsid w:val="00DD5983"/>
    <w:rsid w:val="00DD5CC2"/>
    <w:rsid w:val="00DD654A"/>
    <w:rsid w:val="00DD6859"/>
    <w:rsid w:val="00DD68BD"/>
    <w:rsid w:val="00DE1435"/>
    <w:rsid w:val="00DE1C62"/>
    <w:rsid w:val="00DE2084"/>
    <w:rsid w:val="00DE2400"/>
    <w:rsid w:val="00DE3D66"/>
    <w:rsid w:val="00DE3DCD"/>
    <w:rsid w:val="00DE48BC"/>
    <w:rsid w:val="00DE51C3"/>
    <w:rsid w:val="00DE5A61"/>
    <w:rsid w:val="00DE5F45"/>
    <w:rsid w:val="00DE6F15"/>
    <w:rsid w:val="00DF0D77"/>
    <w:rsid w:val="00DF1184"/>
    <w:rsid w:val="00DF26D1"/>
    <w:rsid w:val="00DF2D1D"/>
    <w:rsid w:val="00DF513B"/>
    <w:rsid w:val="00DF53FE"/>
    <w:rsid w:val="00DF554E"/>
    <w:rsid w:val="00DF5FA6"/>
    <w:rsid w:val="00DF672C"/>
    <w:rsid w:val="00DF6B3C"/>
    <w:rsid w:val="00DF7D7D"/>
    <w:rsid w:val="00E00FB2"/>
    <w:rsid w:val="00E01CF5"/>
    <w:rsid w:val="00E03C34"/>
    <w:rsid w:val="00E03CB9"/>
    <w:rsid w:val="00E048DB"/>
    <w:rsid w:val="00E05069"/>
    <w:rsid w:val="00E055CA"/>
    <w:rsid w:val="00E075B1"/>
    <w:rsid w:val="00E10DF0"/>
    <w:rsid w:val="00E13113"/>
    <w:rsid w:val="00E15D42"/>
    <w:rsid w:val="00E20189"/>
    <w:rsid w:val="00E2035F"/>
    <w:rsid w:val="00E2054F"/>
    <w:rsid w:val="00E21A8D"/>
    <w:rsid w:val="00E24F93"/>
    <w:rsid w:val="00E25EBD"/>
    <w:rsid w:val="00E262C1"/>
    <w:rsid w:val="00E272B0"/>
    <w:rsid w:val="00E27672"/>
    <w:rsid w:val="00E32154"/>
    <w:rsid w:val="00E333E2"/>
    <w:rsid w:val="00E33BCA"/>
    <w:rsid w:val="00E3608A"/>
    <w:rsid w:val="00E360BB"/>
    <w:rsid w:val="00E36AF7"/>
    <w:rsid w:val="00E40A90"/>
    <w:rsid w:val="00E40C07"/>
    <w:rsid w:val="00E41C9B"/>
    <w:rsid w:val="00E430F6"/>
    <w:rsid w:val="00E5060B"/>
    <w:rsid w:val="00E50DEA"/>
    <w:rsid w:val="00E5149F"/>
    <w:rsid w:val="00E51FA1"/>
    <w:rsid w:val="00E525F7"/>
    <w:rsid w:val="00E536CB"/>
    <w:rsid w:val="00E5510B"/>
    <w:rsid w:val="00E552D9"/>
    <w:rsid w:val="00E5651E"/>
    <w:rsid w:val="00E57B13"/>
    <w:rsid w:val="00E60375"/>
    <w:rsid w:val="00E61948"/>
    <w:rsid w:val="00E64D93"/>
    <w:rsid w:val="00E65DA2"/>
    <w:rsid w:val="00E6748F"/>
    <w:rsid w:val="00E67C57"/>
    <w:rsid w:val="00E70866"/>
    <w:rsid w:val="00E730D2"/>
    <w:rsid w:val="00E73A0F"/>
    <w:rsid w:val="00E74D4A"/>
    <w:rsid w:val="00E76A50"/>
    <w:rsid w:val="00E76C60"/>
    <w:rsid w:val="00E802A0"/>
    <w:rsid w:val="00E8174F"/>
    <w:rsid w:val="00E832CA"/>
    <w:rsid w:val="00E83F29"/>
    <w:rsid w:val="00E843D7"/>
    <w:rsid w:val="00E848CF"/>
    <w:rsid w:val="00E84EBA"/>
    <w:rsid w:val="00E85520"/>
    <w:rsid w:val="00E858D8"/>
    <w:rsid w:val="00E92A7F"/>
    <w:rsid w:val="00E92B78"/>
    <w:rsid w:val="00E94DE0"/>
    <w:rsid w:val="00E9542F"/>
    <w:rsid w:val="00E965E4"/>
    <w:rsid w:val="00E9670C"/>
    <w:rsid w:val="00E96EB3"/>
    <w:rsid w:val="00EA223B"/>
    <w:rsid w:val="00EA3600"/>
    <w:rsid w:val="00EA430A"/>
    <w:rsid w:val="00EA6EE4"/>
    <w:rsid w:val="00EA7B5E"/>
    <w:rsid w:val="00EB0B92"/>
    <w:rsid w:val="00EB1AA6"/>
    <w:rsid w:val="00EB1AE4"/>
    <w:rsid w:val="00EB2144"/>
    <w:rsid w:val="00EB5244"/>
    <w:rsid w:val="00EB642C"/>
    <w:rsid w:val="00EC00D5"/>
    <w:rsid w:val="00EC0B04"/>
    <w:rsid w:val="00EC2883"/>
    <w:rsid w:val="00EC74E6"/>
    <w:rsid w:val="00EC7D10"/>
    <w:rsid w:val="00ED0621"/>
    <w:rsid w:val="00ED18F3"/>
    <w:rsid w:val="00ED3D88"/>
    <w:rsid w:val="00ED3F2C"/>
    <w:rsid w:val="00ED619C"/>
    <w:rsid w:val="00ED62A4"/>
    <w:rsid w:val="00ED681E"/>
    <w:rsid w:val="00ED6BF5"/>
    <w:rsid w:val="00EE1641"/>
    <w:rsid w:val="00EE2F75"/>
    <w:rsid w:val="00EE2F91"/>
    <w:rsid w:val="00EE3A0B"/>
    <w:rsid w:val="00EE4004"/>
    <w:rsid w:val="00EE5B92"/>
    <w:rsid w:val="00EE60DB"/>
    <w:rsid w:val="00EE66B7"/>
    <w:rsid w:val="00EE769C"/>
    <w:rsid w:val="00EE7EC7"/>
    <w:rsid w:val="00EF1026"/>
    <w:rsid w:val="00EF11D0"/>
    <w:rsid w:val="00EF2189"/>
    <w:rsid w:val="00EF237D"/>
    <w:rsid w:val="00EF25DC"/>
    <w:rsid w:val="00EF79CF"/>
    <w:rsid w:val="00F002D5"/>
    <w:rsid w:val="00F01268"/>
    <w:rsid w:val="00F0683C"/>
    <w:rsid w:val="00F14332"/>
    <w:rsid w:val="00F143F2"/>
    <w:rsid w:val="00F14EC5"/>
    <w:rsid w:val="00F16882"/>
    <w:rsid w:val="00F22203"/>
    <w:rsid w:val="00F222D9"/>
    <w:rsid w:val="00F23C7E"/>
    <w:rsid w:val="00F30E20"/>
    <w:rsid w:val="00F319CC"/>
    <w:rsid w:val="00F31B1E"/>
    <w:rsid w:val="00F32D33"/>
    <w:rsid w:val="00F33731"/>
    <w:rsid w:val="00F34005"/>
    <w:rsid w:val="00F36920"/>
    <w:rsid w:val="00F369AF"/>
    <w:rsid w:val="00F36C4D"/>
    <w:rsid w:val="00F37DDC"/>
    <w:rsid w:val="00F43998"/>
    <w:rsid w:val="00F445A3"/>
    <w:rsid w:val="00F4598B"/>
    <w:rsid w:val="00F46A4C"/>
    <w:rsid w:val="00F5062B"/>
    <w:rsid w:val="00F50662"/>
    <w:rsid w:val="00F50D7A"/>
    <w:rsid w:val="00F5104C"/>
    <w:rsid w:val="00F52FA2"/>
    <w:rsid w:val="00F531C9"/>
    <w:rsid w:val="00F55610"/>
    <w:rsid w:val="00F55954"/>
    <w:rsid w:val="00F60634"/>
    <w:rsid w:val="00F61A9D"/>
    <w:rsid w:val="00F647D0"/>
    <w:rsid w:val="00F64F6F"/>
    <w:rsid w:val="00F66D10"/>
    <w:rsid w:val="00F6721D"/>
    <w:rsid w:val="00F67B84"/>
    <w:rsid w:val="00F72354"/>
    <w:rsid w:val="00F72F99"/>
    <w:rsid w:val="00F73774"/>
    <w:rsid w:val="00F80E63"/>
    <w:rsid w:val="00F80F37"/>
    <w:rsid w:val="00F80F45"/>
    <w:rsid w:val="00F81979"/>
    <w:rsid w:val="00F87FA9"/>
    <w:rsid w:val="00F90472"/>
    <w:rsid w:val="00F90990"/>
    <w:rsid w:val="00F91289"/>
    <w:rsid w:val="00F91860"/>
    <w:rsid w:val="00F934F2"/>
    <w:rsid w:val="00F9378E"/>
    <w:rsid w:val="00F95900"/>
    <w:rsid w:val="00F95904"/>
    <w:rsid w:val="00F9615C"/>
    <w:rsid w:val="00F961F6"/>
    <w:rsid w:val="00F97160"/>
    <w:rsid w:val="00F97515"/>
    <w:rsid w:val="00FA0EBE"/>
    <w:rsid w:val="00FA1E12"/>
    <w:rsid w:val="00FA4606"/>
    <w:rsid w:val="00FA55AE"/>
    <w:rsid w:val="00FA569A"/>
    <w:rsid w:val="00FB113A"/>
    <w:rsid w:val="00FB1966"/>
    <w:rsid w:val="00FB28E2"/>
    <w:rsid w:val="00FB2BA7"/>
    <w:rsid w:val="00FB4245"/>
    <w:rsid w:val="00FB47ED"/>
    <w:rsid w:val="00FB6D17"/>
    <w:rsid w:val="00FB7DBB"/>
    <w:rsid w:val="00FB7F81"/>
    <w:rsid w:val="00FC3903"/>
    <w:rsid w:val="00FC5043"/>
    <w:rsid w:val="00FC7414"/>
    <w:rsid w:val="00FC7696"/>
    <w:rsid w:val="00FC7AF1"/>
    <w:rsid w:val="00FD11D7"/>
    <w:rsid w:val="00FD2D20"/>
    <w:rsid w:val="00FD4E61"/>
    <w:rsid w:val="00FD5336"/>
    <w:rsid w:val="00FE06B9"/>
    <w:rsid w:val="00FE0C85"/>
    <w:rsid w:val="00FE2F3B"/>
    <w:rsid w:val="00FE2FFA"/>
    <w:rsid w:val="00FE507D"/>
    <w:rsid w:val="00FE523F"/>
    <w:rsid w:val="00FE7458"/>
    <w:rsid w:val="00FE7B81"/>
    <w:rsid w:val="00FE7ECA"/>
    <w:rsid w:val="00FF0E76"/>
    <w:rsid w:val="00FF2DD7"/>
    <w:rsid w:val="00FF37B9"/>
    <w:rsid w:val="00FF4AB2"/>
    <w:rsid w:val="00FF5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5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dumsha_ep</cp:lastModifiedBy>
  <cp:revision>5</cp:revision>
  <cp:lastPrinted>2018-05-04T14:26:00Z</cp:lastPrinted>
  <dcterms:created xsi:type="dcterms:W3CDTF">2018-05-04T14:16:00Z</dcterms:created>
  <dcterms:modified xsi:type="dcterms:W3CDTF">2018-05-15T13:36:00Z</dcterms:modified>
</cp:coreProperties>
</file>