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348" w:type="dxa"/>
        <w:tblInd w:w="-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676"/>
      </w:tblGrid>
      <w:tr w:rsidR="00A52CAA" w14:paraId="612FCB26" w14:textId="77777777" w:rsidTr="00A52CAA">
        <w:tc>
          <w:tcPr>
            <w:tcW w:w="4672" w:type="dxa"/>
          </w:tcPr>
          <w:p w14:paraId="29CE56FF" w14:textId="77777777" w:rsidR="00A52CAA" w:rsidRDefault="00A52CAA"/>
        </w:tc>
        <w:tc>
          <w:tcPr>
            <w:tcW w:w="5676" w:type="dxa"/>
          </w:tcPr>
          <w:p w14:paraId="386121D5" w14:textId="58DAC341" w:rsidR="00A52CAA" w:rsidRPr="00A52CAA" w:rsidRDefault="00A52CAA" w:rsidP="00A52CAA">
            <w:pPr>
              <w:widowControl w:val="0"/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2CA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отчету </w:t>
            </w:r>
          </w:p>
          <w:p w14:paraId="6BEC3EBD" w14:textId="0A9F0EBC" w:rsidR="00A52CAA" w:rsidRDefault="00A52CAA" w:rsidP="00FB39BC">
            <w:pPr>
              <w:widowControl w:val="0"/>
              <w:autoSpaceDE w:val="0"/>
              <w:autoSpaceDN w:val="0"/>
              <w:spacing w:after="200" w:line="276" w:lineRule="auto"/>
              <w:jc w:val="right"/>
            </w:pPr>
            <w:r w:rsidRPr="00A52CAA">
              <w:rPr>
                <w:rFonts w:ascii="Times New Roman" w:eastAsia="Calibri" w:hAnsi="Times New Roman" w:cs="Times New Roman"/>
                <w:sz w:val="28"/>
                <w:szCs w:val="28"/>
              </w:rPr>
              <w:t>о результатах мониторинга качества финансового менеджмента главных администраторов средств бюджета муниципального образования "</w:t>
            </w:r>
            <w:r w:rsidR="00FB39BC">
              <w:rPr>
                <w:rFonts w:ascii="Times New Roman" w:eastAsia="Calibri" w:hAnsi="Times New Roman" w:cs="Times New Roman"/>
                <w:sz w:val="28"/>
                <w:szCs w:val="28"/>
              </w:rPr>
              <w:t>Город Выборг</w:t>
            </w:r>
            <w:r w:rsidRPr="00A52CAA">
              <w:rPr>
                <w:rFonts w:ascii="Times New Roman" w:eastAsia="Calibri" w:hAnsi="Times New Roman" w:cs="Times New Roman"/>
                <w:sz w:val="28"/>
                <w:szCs w:val="28"/>
              </w:rPr>
              <w:t>" Выборгского района Ленинградской области</w:t>
            </w:r>
          </w:p>
        </w:tc>
      </w:tr>
    </w:tbl>
    <w:p w14:paraId="15DD34A9" w14:textId="0803ECA2" w:rsidR="00733F87" w:rsidRPr="00A52CAA" w:rsidRDefault="00B84A63" w:rsidP="00A52CA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м</w:t>
      </w:r>
      <w:r w:rsidRPr="00A52CAA">
        <w:rPr>
          <w:rFonts w:ascii="Times New Roman" w:hAnsi="Times New Roman" w:cs="Times New Roman"/>
          <w:sz w:val="28"/>
          <w:szCs w:val="28"/>
        </w:rPr>
        <w:t>ониторинг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52CAA" w:rsidRPr="00A52CAA">
        <w:rPr>
          <w:rFonts w:ascii="Times New Roman" w:hAnsi="Times New Roman" w:cs="Times New Roman"/>
          <w:sz w:val="28"/>
          <w:szCs w:val="28"/>
        </w:rPr>
        <w:t xml:space="preserve"> качества финансового </w:t>
      </w:r>
      <w:r w:rsidRPr="00A52CAA">
        <w:rPr>
          <w:rFonts w:ascii="Times New Roman" w:hAnsi="Times New Roman" w:cs="Times New Roman"/>
          <w:sz w:val="28"/>
          <w:szCs w:val="28"/>
        </w:rPr>
        <w:t>менеджмента главных</w:t>
      </w:r>
      <w:r w:rsidR="00A52CAA" w:rsidRPr="00A52CAA">
        <w:rPr>
          <w:rFonts w:ascii="Times New Roman" w:hAnsi="Times New Roman" w:cs="Times New Roman"/>
          <w:sz w:val="28"/>
          <w:szCs w:val="28"/>
        </w:rPr>
        <w:t xml:space="preserve"> администраторов средств бюджета муниципального образования "</w:t>
      </w:r>
      <w:r w:rsidR="00FB39BC">
        <w:rPr>
          <w:rFonts w:ascii="Times New Roman" w:eastAsia="Calibri" w:hAnsi="Times New Roman" w:cs="Times New Roman"/>
          <w:sz w:val="28"/>
          <w:szCs w:val="28"/>
        </w:rPr>
        <w:t>Город Выборг</w:t>
      </w:r>
      <w:r w:rsidR="00A52CAA" w:rsidRPr="00A52CAA">
        <w:rPr>
          <w:rFonts w:ascii="Times New Roman" w:hAnsi="Times New Roman" w:cs="Times New Roman"/>
          <w:sz w:val="28"/>
          <w:szCs w:val="28"/>
        </w:rPr>
        <w:t>" Выборгского района Ленинградской области за 202</w:t>
      </w:r>
      <w:r w:rsidR="008F59FB">
        <w:rPr>
          <w:rFonts w:ascii="Times New Roman" w:hAnsi="Times New Roman" w:cs="Times New Roman"/>
          <w:sz w:val="28"/>
          <w:szCs w:val="28"/>
        </w:rPr>
        <w:t>4</w:t>
      </w:r>
      <w:r w:rsidR="00A52CAA" w:rsidRPr="00A52CAA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043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1"/>
        <w:gridCol w:w="6603"/>
        <w:gridCol w:w="1636"/>
        <w:gridCol w:w="1630"/>
        <w:gridCol w:w="16"/>
      </w:tblGrid>
      <w:tr w:rsidR="0065344D" w:rsidRPr="00B84A63" w14:paraId="2AACC26A" w14:textId="77777777" w:rsidTr="0065344D">
        <w:trPr>
          <w:trHeight w:val="70"/>
        </w:trPr>
        <w:tc>
          <w:tcPr>
            <w:tcW w:w="551" w:type="dxa"/>
            <w:vMerge w:val="restart"/>
            <w:shd w:val="clear" w:color="auto" w:fill="auto"/>
            <w:vAlign w:val="center"/>
            <w:hideMark/>
          </w:tcPr>
          <w:p w14:paraId="1FBCE1C2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6603" w:type="dxa"/>
            <w:vMerge w:val="restart"/>
            <w:shd w:val="clear" w:color="auto" w:fill="auto"/>
            <w:vAlign w:val="center"/>
            <w:hideMark/>
          </w:tcPr>
          <w:p w14:paraId="2C2D8F51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 КФМ</w:t>
            </w:r>
          </w:p>
        </w:tc>
        <w:tc>
          <w:tcPr>
            <w:tcW w:w="1636" w:type="dxa"/>
            <w:vMerge w:val="restart"/>
          </w:tcPr>
          <w:p w14:paraId="66F9C92C" w14:textId="58985A8C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65344D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Оценка (балл) за 2023 год по администрации МО «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Выборгский район</w:t>
            </w:r>
            <w:r w:rsidRPr="0065344D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»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bottom"/>
            <w:hideMark/>
          </w:tcPr>
          <w:p w14:paraId="2ECEEB3F" w14:textId="3E6C976B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(балл)</w:t>
            </w:r>
          </w:p>
        </w:tc>
      </w:tr>
      <w:tr w:rsidR="0065344D" w:rsidRPr="00B84A63" w14:paraId="01743A59" w14:textId="77777777" w:rsidTr="0065344D">
        <w:trPr>
          <w:trHeight w:val="529"/>
        </w:trPr>
        <w:tc>
          <w:tcPr>
            <w:tcW w:w="551" w:type="dxa"/>
            <w:vMerge/>
            <w:vAlign w:val="center"/>
            <w:hideMark/>
          </w:tcPr>
          <w:p w14:paraId="40AB1BF9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03" w:type="dxa"/>
            <w:vMerge/>
            <w:vAlign w:val="center"/>
            <w:hideMark/>
          </w:tcPr>
          <w:p w14:paraId="7F5CF386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6" w:type="dxa"/>
            <w:vMerge/>
          </w:tcPr>
          <w:p w14:paraId="11D9280C" w14:textId="77777777" w:rsidR="0065344D" w:rsidRPr="00B84A63" w:rsidRDefault="0065344D" w:rsidP="00FB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6" w:type="dxa"/>
            <w:gridSpan w:val="2"/>
            <w:shd w:val="clear" w:color="auto" w:fill="auto"/>
            <w:vAlign w:val="center"/>
            <w:hideMark/>
          </w:tcPr>
          <w:p w14:paraId="2BF7543E" w14:textId="17A78D01" w:rsidR="0065344D" w:rsidRPr="00B84A63" w:rsidRDefault="0065344D" w:rsidP="00FB3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МО "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Выборгский район</w:t>
            </w: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</w:tr>
      <w:tr w:rsidR="0065344D" w:rsidRPr="00B84A63" w14:paraId="68809836" w14:textId="77777777" w:rsidTr="0065344D">
        <w:trPr>
          <w:trHeight w:val="70"/>
        </w:trPr>
        <w:tc>
          <w:tcPr>
            <w:tcW w:w="551" w:type="dxa"/>
            <w:shd w:val="clear" w:color="auto" w:fill="F2F2F2" w:themeFill="background1" w:themeFillShade="F2"/>
            <w:noWrap/>
            <w:vAlign w:val="center"/>
            <w:hideMark/>
          </w:tcPr>
          <w:p w14:paraId="62EF0C39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6603" w:type="dxa"/>
            <w:shd w:val="clear" w:color="auto" w:fill="F2F2F2" w:themeFill="background1" w:themeFillShade="F2"/>
            <w:vAlign w:val="bottom"/>
            <w:hideMark/>
          </w:tcPr>
          <w:p w14:paraId="07B4C0C7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Показатели оценки качества исполнения бюджетных полномочий</w:t>
            </w:r>
          </w:p>
        </w:tc>
        <w:tc>
          <w:tcPr>
            <w:tcW w:w="1636" w:type="dxa"/>
            <w:shd w:val="clear" w:color="auto" w:fill="F2F2F2" w:themeFill="background1" w:themeFillShade="F2"/>
          </w:tcPr>
          <w:p w14:paraId="456D21BD" w14:textId="77D500A5" w:rsidR="0065344D" w:rsidRPr="0065344D" w:rsidRDefault="0065344D" w:rsidP="00653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93</w:t>
            </w:r>
          </w:p>
        </w:tc>
        <w:tc>
          <w:tcPr>
            <w:tcW w:w="1646" w:type="dxa"/>
            <w:gridSpan w:val="2"/>
            <w:shd w:val="clear" w:color="auto" w:fill="F2F2F2" w:themeFill="background1" w:themeFillShade="F2"/>
            <w:vAlign w:val="center"/>
            <w:hideMark/>
          </w:tcPr>
          <w:p w14:paraId="3C54379C" w14:textId="52E20F2D" w:rsidR="0065344D" w:rsidRPr="008F59FB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</w:t>
            </w:r>
          </w:p>
        </w:tc>
      </w:tr>
      <w:tr w:rsidR="0065344D" w:rsidRPr="00B84A63" w14:paraId="5351E6F8" w14:textId="77777777" w:rsidTr="0065344D">
        <w:trPr>
          <w:trHeight w:val="70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285C4A20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779486C9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Качество представления данных для формирования проекта бюджета (изменений в бюджет)</w:t>
            </w:r>
          </w:p>
        </w:tc>
        <w:tc>
          <w:tcPr>
            <w:tcW w:w="1636" w:type="dxa"/>
          </w:tcPr>
          <w:p w14:paraId="68B69A96" w14:textId="77777777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14:paraId="63E8D93A" w14:textId="76E27530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65344D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</w:t>
            </w:r>
          </w:p>
          <w:p w14:paraId="4B4F46A7" w14:textId="3069BF9E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1803D312" w14:textId="06B43B30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5344D" w:rsidRPr="00B84A63" w14:paraId="15F00A3E" w14:textId="77777777" w:rsidTr="0065344D">
        <w:trPr>
          <w:trHeight w:val="70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08169F6C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66EEB837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расходов бюджета, формируемых в рамках программ, в общем объеме расходов бюджета</w:t>
            </w:r>
          </w:p>
        </w:tc>
        <w:tc>
          <w:tcPr>
            <w:tcW w:w="1636" w:type="dxa"/>
          </w:tcPr>
          <w:p w14:paraId="76F7FAF3" w14:textId="405558EA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65344D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6F1E08D8" w14:textId="3B564092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65344D" w:rsidRPr="00B84A63" w14:paraId="347B1B52" w14:textId="77777777" w:rsidTr="0065344D">
        <w:trPr>
          <w:trHeight w:val="238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34C59E80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1C5E7443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Отклонение объема расходов бюджета в IV квартале от среднего объема за I-III кварталы (без учета целевых межбюджетных трансфертов)</w:t>
            </w:r>
          </w:p>
        </w:tc>
        <w:tc>
          <w:tcPr>
            <w:tcW w:w="1636" w:type="dxa"/>
          </w:tcPr>
          <w:p w14:paraId="24DA25C6" w14:textId="77777777" w:rsid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14:paraId="032137F4" w14:textId="6A283DDD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65344D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3</w:t>
            </w:r>
          </w:p>
          <w:p w14:paraId="53E60E80" w14:textId="75A62D35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6E9EE70F" w14:textId="22633B48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65344D" w:rsidRPr="00B84A63" w14:paraId="4AB7E50F" w14:textId="77777777" w:rsidTr="0065344D">
        <w:trPr>
          <w:trHeight w:val="70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71D3DAE0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6780A528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Внесение изменений в сводную бюджетную роспись и кассовый план </w:t>
            </w:r>
          </w:p>
        </w:tc>
        <w:tc>
          <w:tcPr>
            <w:tcW w:w="1636" w:type="dxa"/>
          </w:tcPr>
          <w:p w14:paraId="603FE8A6" w14:textId="5FE7D247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4D4CCB05" w14:textId="3BC71A12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5344D" w:rsidRPr="00B84A63" w14:paraId="3D39DF82" w14:textId="77777777" w:rsidTr="0065344D">
        <w:trPr>
          <w:trHeight w:val="70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0BDB46EC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763C705F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(исправление) писем на изменения в сводную бюджетную роспись и кассовый план</w:t>
            </w:r>
          </w:p>
        </w:tc>
        <w:tc>
          <w:tcPr>
            <w:tcW w:w="1636" w:type="dxa"/>
          </w:tcPr>
          <w:p w14:paraId="6A7BEFBD" w14:textId="5B7AD438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07AFE5E6" w14:textId="0ECD066B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65344D" w:rsidRPr="00B84A63" w14:paraId="2426116E" w14:textId="77777777" w:rsidTr="0065344D">
        <w:trPr>
          <w:trHeight w:val="105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704050B9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6E65B986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Своевременность заключения соглашений о предоставлении из областного бюджета Ленинградской области межбюджетных субсидий, субвенций, иных межбюджетных трансфертов, имеющих целевое назначение</w:t>
            </w:r>
          </w:p>
        </w:tc>
        <w:tc>
          <w:tcPr>
            <w:tcW w:w="1636" w:type="dxa"/>
          </w:tcPr>
          <w:p w14:paraId="48B162B3" w14:textId="77777777" w:rsid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14:paraId="065809E2" w14:textId="582453D4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4F8B2E4F" w14:textId="2FA920B2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65344D" w:rsidRPr="00B84A63" w14:paraId="13B90745" w14:textId="77777777" w:rsidTr="0065344D">
        <w:trPr>
          <w:trHeight w:val="77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63775C49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751C469D" w14:textId="60919FB1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исключен</w:t>
            </w: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636" w:type="dxa"/>
          </w:tcPr>
          <w:p w14:paraId="17A502EE" w14:textId="04B0CDF3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58CDFD07" w14:textId="0DD9A644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65344D" w:rsidRPr="00B84A63" w14:paraId="1BB7CD4F" w14:textId="77777777" w:rsidTr="0065344D">
        <w:trPr>
          <w:trHeight w:val="630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3C58ACEC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30EE9ED2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Своевременность утверждения муниципального задания для автономных и бюджетных учреждений</w:t>
            </w:r>
          </w:p>
        </w:tc>
        <w:tc>
          <w:tcPr>
            <w:tcW w:w="1636" w:type="dxa"/>
          </w:tcPr>
          <w:p w14:paraId="68695191" w14:textId="77777777" w:rsid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14:paraId="0A6B25EF" w14:textId="2B6B2901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4D4FA3E6" w14:textId="306E16BD" w:rsidR="0065344D" w:rsidRPr="00DF7D94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</w:p>
        </w:tc>
      </w:tr>
      <w:tr w:rsidR="0065344D" w:rsidRPr="00B84A63" w14:paraId="6EC84FA0" w14:textId="77777777" w:rsidTr="0065344D">
        <w:trPr>
          <w:trHeight w:val="408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754C057F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1.9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007BDA05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на официальном сайте для размещения информации о государственных (муниципальных) учреждениях (далее - сайт bus.gov.ru) плановых показателей на текущий год, в срок до 1 марта года, за который проводится оценка (для казенных муниципальных учреждений информация о показателях бюджетной сметы; для автономных и бюджетных учреждений информация о муниципальном задании, информация о плане финансово-хозяйственной деятельности)</w:t>
            </w:r>
          </w:p>
        </w:tc>
        <w:tc>
          <w:tcPr>
            <w:tcW w:w="1636" w:type="dxa"/>
          </w:tcPr>
          <w:p w14:paraId="25672DE5" w14:textId="77777777" w:rsid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14:paraId="17E802ED" w14:textId="77777777" w:rsid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14:paraId="33CD168A" w14:textId="77777777" w:rsid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14:paraId="1112300C" w14:textId="5DE67C01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2A678F1D" w14:textId="4B9AEA0F" w:rsidR="0065344D" w:rsidRPr="008F59FB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5344D" w:rsidRPr="00B84A63" w14:paraId="1B747A25" w14:textId="77777777" w:rsidTr="0065344D">
        <w:trPr>
          <w:trHeight w:val="266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15A38E3C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1.10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3E9456DC" w14:textId="5516E505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исключен</w:t>
            </w:r>
          </w:p>
        </w:tc>
        <w:tc>
          <w:tcPr>
            <w:tcW w:w="1636" w:type="dxa"/>
          </w:tcPr>
          <w:p w14:paraId="3B982FB1" w14:textId="6E302454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5BD4FF33" w14:textId="47EE8EEB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65344D" w:rsidRPr="00B84A63" w14:paraId="723F5D65" w14:textId="77777777" w:rsidTr="0065344D">
        <w:trPr>
          <w:trHeight w:val="70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5E7EA599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1.11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3BA3B559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на сайте bus.gov.ru фактических показателей по годовой бухгалтерской отчетности за год, предшествующий отчетному, в срок до 1 мая года, за который проводится оценка (для казенных муниципальных учреждений баланс (ф. 0503130);  для автономных и бюджетных учреждений баланс (ф. 0503730))</w:t>
            </w:r>
          </w:p>
        </w:tc>
        <w:tc>
          <w:tcPr>
            <w:tcW w:w="1636" w:type="dxa"/>
          </w:tcPr>
          <w:p w14:paraId="2B7EF9E8" w14:textId="77777777" w:rsidR="0065344D" w:rsidRDefault="0065344D" w:rsidP="00DF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14:paraId="38C59905" w14:textId="77777777" w:rsidR="0065344D" w:rsidRDefault="0065344D" w:rsidP="00DF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14:paraId="03607C55" w14:textId="0F8C2B10" w:rsidR="0065344D" w:rsidRPr="0065344D" w:rsidRDefault="0065344D" w:rsidP="00DF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1270FE36" w14:textId="586A5C37" w:rsidR="0065344D" w:rsidRPr="00DF7D94" w:rsidRDefault="0065344D" w:rsidP="00DF7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</w:p>
        </w:tc>
      </w:tr>
      <w:tr w:rsidR="0065344D" w:rsidRPr="00B84A63" w14:paraId="64E672C8" w14:textId="77777777" w:rsidTr="0065344D">
        <w:trPr>
          <w:trHeight w:val="81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03EED4BF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1.12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7C6449F9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Соотношение кассовых расходов и плановых объемов бюджетных ассигнований </w:t>
            </w:r>
          </w:p>
        </w:tc>
        <w:tc>
          <w:tcPr>
            <w:tcW w:w="1636" w:type="dxa"/>
          </w:tcPr>
          <w:p w14:paraId="1E1AB9B1" w14:textId="0F5CBAEA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4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2E76C434" w14:textId="278E6DE5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65344D" w:rsidRPr="00B84A63" w14:paraId="6003F8A5" w14:textId="77777777" w:rsidTr="0065344D">
        <w:trPr>
          <w:trHeight w:val="70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77CE446F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1.13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3F24581A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Своевременность принятия муниципальных программ</w:t>
            </w:r>
          </w:p>
        </w:tc>
        <w:tc>
          <w:tcPr>
            <w:tcW w:w="1636" w:type="dxa"/>
          </w:tcPr>
          <w:p w14:paraId="33954A3F" w14:textId="737B5C07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7054A7FF" w14:textId="02528A6E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5344D" w:rsidRPr="00B84A63" w14:paraId="51E24E43" w14:textId="77777777" w:rsidTr="0065344D">
        <w:trPr>
          <w:trHeight w:val="70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1366AE7B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1.14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654064AC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Соотношение принятых бюджетных обязательств и плановых объемов бюджетных ассигнований</w:t>
            </w:r>
          </w:p>
        </w:tc>
        <w:tc>
          <w:tcPr>
            <w:tcW w:w="1636" w:type="dxa"/>
          </w:tcPr>
          <w:p w14:paraId="2B598F50" w14:textId="5E865B26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7262F8F7" w14:textId="014E13C8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65344D" w:rsidRPr="00B84A63" w14:paraId="56062056" w14:textId="77777777" w:rsidTr="0065344D">
        <w:trPr>
          <w:trHeight w:val="70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71E145CA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1.15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6A3F5456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Отсутствие фактов нарушений мер по реализации решения совета депутатов о бюджете муниципального образования </w:t>
            </w:r>
          </w:p>
        </w:tc>
        <w:tc>
          <w:tcPr>
            <w:tcW w:w="1636" w:type="dxa"/>
          </w:tcPr>
          <w:p w14:paraId="79201FA5" w14:textId="63639C24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1A934E1F" w14:textId="25DBB79F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5344D" w:rsidRPr="00B84A63" w14:paraId="654187BF" w14:textId="77777777" w:rsidTr="0065344D">
        <w:trPr>
          <w:trHeight w:val="70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44136C4B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1.16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382E460C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Качество предоставления данных по запросам комитета финансов  </w:t>
            </w:r>
          </w:p>
        </w:tc>
        <w:tc>
          <w:tcPr>
            <w:tcW w:w="1636" w:type="dxa"/>
          </w:tcPr>
          <w:p w14:paraId="0115B1F8" w14:textId="7F69FB06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62421B2A" w14:textId="606AED12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5344D" w:rsidRPr="00B84A63" w14:paraId="56C96470" w14:textId="77777777" w:rsidTr="0065344D">
        <w:trPr>
          <w:trHeight w:val="70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1E019B75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1.17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3EB58EA7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просроченной кредиторской задолженности муниципального образования</w:t>
            </w:r>
          </w:p>
        </w:tc>
        <w:tc>
          <w:tcPr>
            <w:tcW w:w="1636" w:type="dxa"/>
          </w:tcPr>
          <w:p w14:paraId="518080AA" w14:textId="1FD00F3D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562E6A84" w14:textId="3859362F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65344D" w:rsidRPr="00B84A63" w14:paraId="6B85F05F" w14:textId="77777777" w:rsidTr="0065344D">
        <w:trPr>
          <w:trHeight w:val="70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071EFBB3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1.18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4AAAC1CA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просроченной задолженности по долговым обязательствам</w:t>
            </w:r>
          </w:p>
        </w:tc>
        <w:tc>
          <w:tcPr>
            <w:tcW w:w="1636" w:type="dxa"/>
          </w:tcPr>
          <w:p w14:paraId="086F7C19" w14:textId="0BE56CF5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13D95254" w14:textId="49D4EC06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65344D" w:rsidRPr="00B84A63" w14:paraId="4434499A" w14:textId="77777777" w:rsidTr="0065344D">
        <w:trPr>
          <w:trHeight w:val="70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0C635C88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1.19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5AE19629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Просроченная задолженность по исполнению долговых обязательств и (или) бюджетных обязательств ГАБС</w:t>
            </w:r>
          </w:p>
        </w:tc>
        <w:tc>
          <w:tcPr>
            <w:tcW w:w="1636" w:type="dxa"/>
          </w:tcPr>
          <w:p w14:paraId="52EE07B0" w14:textId="7B91A5A7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1B4A8B0C" w14:textId="37F87D5C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65344D" w:rsidRPr="00B84A63" w14:paraId="0E3C7125" w14:textId="77777777" w:rsidTr="0065344D">
        <w:trPr>
          <w:trHeight w:val="115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24F86201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1.20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67D477A9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предъявленных к исполнению судебных актов по искам к ГАБС и учреждениям, в отношении которых ГАБС осуществляют полномочия ГРБС</w:t>
            </w:r>
          </w:p>
        </w:tc>
        <w:tc>
          <w:tcPr>
            <w:tcW w:w="1636" w:type="dxa"/>
          </w:tcPr>
          <w:p w14:paraId="42D785BA" w14:textId="77777777" w:rsid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14:paraId="5FFF6926" w14:textId="613201A4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5CFF6A2E" w14:textId="10A9DFE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5344D" w:rsidRPr="00B84A63" w14:paraId="25A5CE68" w14:textId="77777777" w:rsidTr="0065344D">
        <w:trPr>
          <w:trHeight w:val="70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3FCD4A0B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1.21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419E6B47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штрафных санкций по исполнительным листам (неустойка, пени)</w:t>
            </w:r>
          </w:p>
        </w:tc>
        <w:tc>
          <w:tcPr>
            <w:tcW w:w="1636" w:type="dxa"/>
          </w:tcPr>
          <w:p w14:paraId="7927F4E3" w14:textId="5675DEF2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7586501E" w14:textId="6471B48A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65344D" w:rsidRPr="00B84A63" w14:paraId="08B83972" w14:textId="77777777" w:rsidTr="0065344D">
        <w:trPr>
          <w:trHeight w:val="246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64EC28C5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1.22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52E50839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Размещение решения об исполнении бюджета на официальном сайте администрации муниципального образования в течение десяти рабочих дней с даты принятия</w:t>
            </w:r>
          </w:p>
        </w:tc>
        <w:tc>
          <w:tcPr>
            <w:tcW w:w="1636" w:type="dxa"/>
          </w:tcPr>
          <w:p w14:paraId="52F3CFED" w14:textId="77777777" w:rsid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14:paraId="1DE5E172" w14:textId="6E7C9F3F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377959CF" w14:textId="0CEA91BE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65344D" w:rsidRPr="00B84A63" w14:paraId="6D59386D" w14:textId="77777777" w:rsidTr="0065344D">
        <w:trPr>
          <w:trHeight w:val="70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1E808E3A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1.23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44DD094F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Качество представления годовой бюджетной (бухгалтерской) отчетности средствами прикладного программного комплекса «Свод-Смарт» (количество форм, сданных с исправлениями)</w:t>
            </w:r>
          </w:p>
        </w:tc>
        <w:tc>
          <w:tcPr>
            <w:tcW w:w="1636" w:type="dxa"/>
          </w:tcPr>
          <w:p w14:paraId="29AF02BA" w14:textId="77777777" w:rsid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14:paraId="7087AAC8" w14:textId="3A086373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0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6EBAE50D" w14:textId="17068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65344D" w:rsidRPr="00B84A63" w14:paraId="15F872DD" w14:textId="77777777" w:rsidTr="0065344D">
        <w:trPr>
          <w:trHeight w:val="127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12D6AA6E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1.24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5055091D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 превышения прогнозных показателей налоговых и неналоговых доходов бюджета муниципального образования, над фактическим исполнением более чем на 10 процентов 2 года подряд</w:t>
            </w:r>
          </w:p>
        </w:tc>
        <w:tc>
          <w:tcPr>
            <w:tcW w:w="1636" w:type="dxa"/>
          </w:tcPr>
          <w:p w14:paraId="0B6C949C" w14:textId="77777777" w:rsid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  <w:p w14:paraId="32168D76" w14:textId="5F8DC976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694B7E7D" w14:textId="1FAFB098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65344D" w:rsidRPr="00B84A63" w14:paraId="0E5597C3" w14:textId="77777777" w:rsidTr="0065344D">
        <w:trPr>
          <w:trHeight w:val="70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775B53BC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1.25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05A85022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Отклонение фактически поступивших налоговых и неналоговых доходов, от первоначально утвержденного бюджета</w:t>
            </w:r>
          </w:p>
        </w:tc>
        <w:tc>
          <w:tcPr>
            <w:tcW w:w="1636" w:type="dxa"/>
          </w:tcPr>
          <w:p w14:paraId="2AA1A9E7" w14:textId="5D7694D3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2516CD25" w14:textId="263DC455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5344D" w:rsidRPr="00B84A63" w14:paraId="5F47143C" w14:textId="77777777" w:rsidTr="0065344D">
        <w:trPr>
          <w:trHeight w:val="70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04ABBF14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1.26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4BCE0E53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бюджета по налоговым и неналоговым доходам, подлежащим зачислению в бюджет муниципального образования</w:t>
            </w:r>
          </w:p>
        </w:tc>
        <w:tc>
          <w:tcPr>
            <w:tcW w:w="1636" w:type="dxa"/>
          </w:tcPr>
          <w:p w14:paraId="6C55633B" w14:textId="29383E24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3B085880" w14:textId="16FFBF2A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65344D" w:rsidRPr="00B84A63" w14:paraId="221FE2EF" w14:textId="77777777" w:rsidTr="0065344D">
        <w:trPr>
          <w:trHeight w:val="70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44E03749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1.27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68B5BE2A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недоимки по налоговым и неналоговым доходам, подлежащим зачислению в бюджет муниципального образования</w:t>
            </w:r>
          </w:p>
        </w:tc>
        <w:tc>
          <w:tcPr>
            <w:tcW w:w="1636" w:type="dxa"/>
          </w:tcPr>
          <w:p w14:paraId="22CA5B73" w14:textId="6DB4BC99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1F4D3883" w14:textId="22CCB862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65344D" w:rsidRPr="00B84A63" w14:paraId="450756B1" w14:textId="77777777" w:rsidTr="0065344D">
        <w:trPr>
          <w:trHeight w:val="70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3C51AF62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1.28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24C22429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Динамика недоимки по налоговым и неналоговым доходам, подлежащим зачислению в бюджет муниципального образования</w:t>
            </w:r>
          </w:p>
        </w:tc>
        <w:tc>
          <w:tcPr>
            <w:tcW w:w="1636" w:type="dxa"/>
          </w:tcPr>
          <w:p w14:paraId="02F96459" w14:textId="49B42B66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46F1FF67" w14:textId="48230812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65344D" w:rsidRPr="00B84A63" w14:paraId="33C774AB" w14:textId="77777777" w:rsidTr="0065344D">
        <w:trPr>
          <w:trHeight w:val="70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4595A4F5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1.29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18E630FC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 начисления налоговых и неналоговых доходов, администрируемых ГАД, в системе ГИС ГМП</w:t>
            </w:r>
          </w:p>
        </w:tc>
        <w:tc>
          <w:tcPr>
            <w:tcW w:w="1636" w:type="dxa"/>
          </w:tcPr>
          <w:p w14:paraId="611F056F" w14:textId="1FF1BE99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51F1EF30" w14:textId="348B5A96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65344D" w:rsidRPr="00B84A63" w14:paraId="27BF9B85" w14:textId="77777777" w:rsidTr="0065344D">
        <w:trPr>
          <w:trHeight w:val="70"/>
        </w:trPr>
        <w:tc>
          <w:tcPr>
            <w:tcW w:w="551" w:type="dxa"/>
            <w:shd w:val="clear" w:color="auto" w:fill="F2F2F2" w:themeFill="background1" w:themeFillShade="F2"/>
            <w:noWrap/>
            <w:vAlign w:val="center"/>
            <w:hideMark/>
          </w:tcPr>
          <w:p w14:paraId="05D394D3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2.</w:t>
            </w:r>
          </w:p>
        </w:tc>
        <w:tc>
          <w:tcPr>
            <w:tcW w:w="6603" w:type="dxa"/>
            <w:shd w:val="clear" w:color="auto" w:fill="F2F2F2" w:themeFill="background1" w:themeFillShade="F2"/>
            <w:vAlign w:val="bottom"/>
            <w:hideMark/>
          </w:tcPr>
          <w:p w14:paraId="210107D2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Показатели оценки качества управления активами</w:t>
            </w:r>
          </w:p>
        </w:tc>
        <w:tc>
          <w:tcPr>
            <w:tcW w:w="1636" w:type="dxa"/>
            <w:shd w:val="clear" w:color="auto" w:fill="F2F2F2" w:themeFill="background1" w:themeFillShade="F2"/>
          </w:tcPr>
          <w:p w14:paraId="396DC839" w14:textId="1829C58E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</w:t>
            </w:r>
          </w:p>
        </w:tc>
        <w:tc>
          <w:tcPr>
            <w:tcW w:w="1646" w:type="dxa"/>
            <w:gridSpan w:val="2"/>
            <w:shd w:val="clear" w:color="auto" w:fill="F2F2F2" w:themeFill="background1" w:themeFillShade="F2"/>
            <w:vAlign w:val="center"/>
            <w:hideMark/>
          </w:tcPr>
          <w:p w14:paraId="3F95BA5D" w14:textId="7E20551A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65344D" w:rsidRPr="00B84A63" w14:paraId="242FEB2A" w14:textId="77777777" w:rsidTr="0065344D">
        <w:trPr>
          <w:trHeight w:val="315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7CBDF73C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1EC2A24C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объектов незавершенного строительства, плановый срок окончания которых истек ранее года, предшествующего отчетному</w:t>
            </w:r>
          </w:p>
        </w:tc>
        <w:tc>
          <w:tcPr>
            <w:tcW w:w="1636" w:type="dxa"/>
          </w:tcPr>
          <w:p w14:paraId="784EC2E9" w14:textId="158CA77D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2BD90DDC" w14:textId="43A6FD43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65344D" w:rsidRPr="00B84A63" w14:paraId="0DA520B0" w14:textId="77777777" w:rsidTr="0065344D">
        <w:trPr>
          <w:trHeight w:val="315"/>
        </w:trPr>
        <w:tc>
          <w:tcPr>
            <w:tcW w:w="551" w:type="dxa"/>
            <w:shd w:val="clear" w:color="auto" w:fill="F2F2F2" w:themeFill="background1" w:themeFillShade="F2"/>
            <w:noWrap/>
            <w:vAlign w:val="center"/>
            <w:hideMark/>
          </w:tcPr>
          <w:p w14:paraId="5D5D6EE4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</w:t>
            </w:r>
          </w:p>
        </w:tc>
        <w:tc>
          <w:tcPr>
            <w:tcW w:w="6603" w:type="dxa"/>
            <w:shd w:val="clear" w:color="auto" w:fill="F2F2F2" w:themeFill="background1" w:themeFillShade="F2"/>
            <w:vAlign w:val="bottom"/>
            <w:hideMark/>
          </w:tcPr>
          <w:p w14:paraId="6474095A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Показатели оценки качества осуществления закупок товаров, работ и услуг для обеспечения государственных нужд</w:t>
            </w:r>
          </w:p>
        </w:tc>
        <w:tc>
          <w:tcPr>
            <w:tcW w:w="1636" w:type="dxa"/>
            <w:shd w:val="clear" w:color="auto" w:fill="F2F2F2" w:themeFill="background1" w:themeFillShade="F2"/>
          </w:tcPr>
          <w:p w14:paraId="70D1F10B" w14:textId="50022427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</w:t>
            </w:r>
          </w:p>
        </w:tc>
        <w:tc>
          <w:tcPr>
            <w:tcW w:w="1646" w:type="dxa"/>
            <w:gridSpan w:val="2"/>
            <w:shd w:val="clear" w:color="auto" w:fill="F2F2F2" w:themeFill="background1" w:themeFillShade="F2"/>
            <w:vAlign w:val="center"/>
            <w:hideMark/>
          </w:tcPr>
          <w:p w14:paraId="5297AA72" w14:textId="0098611B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65344D" w:rsidRPr="00B84A63" w14:paraId="780EA257" w14:textId="77777777" w:rsidTr="0065344D">
        <w:trPr>
          <w:trHeight w:val="306"/>
        </w:trPr>
        <w:tc>
          <w:tcPr>
            <w:tcW w:w="551" w:type="dxa"/>
            <w:shd w:val="clear" w:color="auto" w:fill="auto"/>
            <w:noWrap/>
            <w:vAlign w:val="center"/>
            <w:hideMark/>
          </w:tcPr>
          <w:p w14:paraId="12E3A5A1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</w:t>
            </w:r>
          </w:p>
        </w:tc>
        <w:tc>
          <w:tcPr>
            <w:tcW w:w="6603" w:type="dxa"/>
            <w:shd w:val="clear" w:color="auto" w:fill="auto"/>
            <w:vAlign w:val="bottom"/>
            <w:hideMark/>
          </w:tcPr>
          <w:p w14:paraId="4255D2FA" w14:textId="77777777" w:rsidR="0065344D" w:rsidRPr="00B84A63" w:rsidRDefault="0065344D" w:rsidP="00B84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документов "Информация о заключенном контракте (его изменении)", прошедших контроль в сфере закупок</w:t>
            </w:r>
          </w:p>
        </w:tc>
        <w:tc>
          <w:tcPr>
            <w:tcW w:w="1636" w:type="dxa"/>
          </w:tcPr>
          <w:p w14:paraId="7C2A8720" w14:textId="7D31B96A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5</w:t>
            </w:r>
          </w:p>
        </w:tc>
        <w:tc>
          <w:tcPr>
            <w:tcW w:w="1646" w:type="dxa"/>
            <w:gridSpan w:val="2"/>
            <w:shd w:val="clear" w:color="auto" w:fill="auto"/>
            <w:noWrap/>
            <w:vAlign w:val="center"/>
            <w:hideMark/>
          </w:tcPr>
          <w:p w14:paraId="718B9137" w14:textId="4119219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65344D" w:rsidRPr="00B84A63" w14:paraId="7E41B311" w14:textId="77777777" w:rsidTr="0065344D">
        <w:trPr>
          <w:gridAfter w:val="1"/>
          <w:wAfter w:w="16" w:type="dxa"/>
          <w:trHeight w:val="315"/>
        </w:trPr>
        <w:tc>
          <w:tcPr>
            <w:tcW w:w="7154" w:type="dxa"/>
            <w:gridSpan w:val="2"/>
            <w:shd w:val="clear" w:color="auto" w:fill="auto"/>
            <w:noWrap/>
            <w:vAlign w:val="center"/>
            <w:hideMark/>
          </w:tcPr>
          <w:p w14:paraId="6476CF5A" w14:textId="77777777" w:rsidR="0065344D" w:rsidRPr="00B84A63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84A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(баллов)</w:t>
            </w:r>
          </w:p>
        </w:tc>
        <w:tc>
          <w:tcPr>
            <w:tcW w:w="1636" w:type="dxa"/>
          </w:tcPr>
          <w:p w14:paraId="3202271C" w14:textId="4C6EC764" w:rsidR="0065344D" w:rsidRPr="0065344D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103</w:t>
            </w:r>
            <w:bookmarkStart w:id="0" w:name="_GoBack"/>
            <w:bookmarkEnd w:id="0"/>
          </w:p>
        </w:tc>
        <w:tc>
          <w:tcPr>
            <w:tcW w:w="1630" w:type="dxa"/>
            <w:shd w:val="clear" w:color="auto" w:fill="auto"/>
            <w:noWrap/>
            <w:vAlign w:val="center"/>
            <w:hideMark/>
          </w:tcPr>
          <w:p w14:paraId="3CFD9154" w14:textId="068EDEB3" w:rsidR="0065344D" w:rsidRPr="008F59FB" w:rsidRDefault="0065344D" w:rsidP="00B84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95</w:t>
            </w:r>
          </w:p>
        </w:tc>
      </w:tr>
    </w:tbl>
    <w:p w14:paraId="2C4E5909" w14:textId="77777777" w:rsidR="00A52CAA" w:rsidRDefault="00A52CAA"/>
    <w:sectPr w:rsidR="00A52CAA" w:rsidSect="00A52CA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61E"/>
    <w:rsid w:val="0039661E"/>
    <w:rsid w:val="0065344D"/>
    <w:rsid w:val="00733F87"/>
    <w:rsid w:val="008F59FB"/>
    <w:rsid w:val="009D3D60"/>
    <w:rsid w:val="00A52CAA"/>
    <w:rsid w:val="00AA5A0E"/>
    <w:rsid w:val="00B84A63"/>
    <w:rsid w:val="00DF7D94"/>
    <w:rsid w:val="00FB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A05D1"/>
  <w15:chartTrackingRefBased/>
  <w15:docId w15:val="{EA6758C1-247B-47B7-AFD2-C27CE1BE2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9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701</Words>
  <Characters>3996</Characters>
  <Application>Microsoft Office Word</Application>
  <DocSecurity>0</DocSecurity>
  <Lines>33</Lines>
  <Paragraphs>9</Paragraphs>
  <ScaleCrop>false</ScaleCrop>
  <Company/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2024-01-22T12:57:00Z</dcterms:created>
  <dcterms:modified xsi:type="dcterms:W3CDTF">2025-03-06T07:07:00Z</dcterms:modified>
</cp:coreProperties>
</file>