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F5" w:rsidRPr="00410E21" w:rsidRDefault="00F620F5" w:rsidP="00F620F5">
      <w:pPr>
        <w:spacing w:before="150" w:after="75" w:line="276" w:lineRule="auto"/>
        <w:jc w:val="center"/>
        <w:textAlignment w:val="baseline"/>
        <w:rPr>
          <w:b/>
          <w:spacing w:val="2"/>
          <w:lang w:eastAsia="ru-RU"/>
        </w:rPr>
      </w:pPr>
      <w:r w:rsidRPr="00410E21">
        <w:rPr>
          <w:b/>
          <w:spacing w:val="2"/>
          <w:lang w:eastAsia="ru-RU"/>
        </w:rPr>
        <w:t>Отчет о достижении значений результатов предоставления субсидии и показателей</w:t>
      </w:r>
    </w:p>
    <w:p w:rsidR="00F620F5" w:rsidRPr="00410E21" w:rsidRDefault="00F620F5" w:rsidP="00F620F5">
      <w:pPr>
        <w:spacing w:line="276" w:lineRule="auto"/>
        <w:textAlignment w:val="baseline"/>
        <w:rPr>
          <w:spacing w:val="2"/>
          <w:lang w:eastAsia="ru-RU"/>
        </w:rPr>
      </w:pPr>
      <w:r w:rsidRPr="00410E21">
        <w:rPr>
          <w:spacing w:val="2"/>
          <w:lang w:eastAsia="ru-RU"/>
        </w:rPr>
        <w:br/>
        <w:t>по состоянию на «</w:t>
      </w:r>
      <w:r w:rsidR="00082AFB">
        <w:rPr>
          <w:spacing w:val="2"/>
          <w:lang w:eastAsia="ru-RU"/>
        </w:rPr>
        <w:t>15</w:t>
      </w:r>
      <w:r w:rsidRPr="00410E21">
        <w:rPr>
          <w:spacing w:val="2"/>
          <w:lang w:eastAsia="ru-RU"/>
        </w:rPr>
        <w:t>»</w:t>
      </w:r>
      <w:r w:rsidR="00FE2E61">
        <w:rPr>
          <w:spacing w:val="2"/>
          <w:lang w:eastAsia="ru-RU"/>
        </w:rPr>
        <w:t xml:space="preserve"> </w:t>
      </w:r>
      <w:r w:rsidR="00082AFB">
        <w:rPr>
          <w:spacing w:val="2"/>
          <w:lang w:eastAsia="ru-RU"/>
        </w:rPr>
        <w:t xml:space="preserve">декабря </w:t>
      </w:r>
      <w:r w:rsidRPr="00410E21">
        <w:rPr>
          <w:spacing w:val="2"/>
          <w:lang w:eastAsia="ru-RU"/>
        </w:rPr>
        <w:t>20</w:t>
      </w:r>
      <w:r w:rsidR="00082AFB">
        <w:rPr>
          <w:spacing w:val="2"/>
          <w:lang w:eastAsia="ru-RU"/>
        </w:rPr>
        <w:t>22</w:t>
      </w:r>
      <w:r w:rsidRPr="00410E21">
        <w:rPr>
          <w:spacing w:val="2"/>
          <w:lang w:eastAsia="ru-RU"/>
        </w:rPr>
        <w:t>г</w:t>
      </w:r>
    </w:p>
    <w:p w:rsidR="00F620F5" w:rsidRPr="00410E21" w:rsidRDefault="00F620F5" w:rsidP="00F620F5">
      <w:pPr>
        <w:spacing w:line="276" w:lineRule="auto"/>
      </w:pPr>
      <w:r w:rsidRPr="00410E21">
        <w:t>Наименование СО НКО-получателя субсидии</w:t>
      </w:r>
      <w:r>
        <w:t xml:space="preserve"> Выборгская общественная организация ветеранов войны, труда, Вооруженных Сил и государственной службы</w:t>
      </w:r>
    </w:p>
    <w:p w:rsidR="00F620F5" w:rsidRPr="00410E21" w:rsidRDefault="00F620F5" w:rsidP="00F620F5">
      <w:pPr>
        <w:spacing w:line="276" w:lineRule="auto"/>
      </w:pPr>
      <w:r w:rsidRPr="00410E21">
        <w:t>Наименование Проекта:</w:t>
      </w:r>
      <w:r>
        <w:t xml:space="preserve"> «Героями не рождаются»</w:t>
      </w:r>
    </w:p>
    <w:p w:rsidR="00F620F5" w:rsidRPr="00410E21" w:rsidRDefault="00F620F5" w:rsidP="00F620F5">
      <w:pPr>
        <w:spacing w:line="276" w:lineRule="auto"/>
      </w:pPr>
      <w:r w:rsidRPr="00410E21">
        <w:t>Соглашение от «</w:t>
      </w:r>
      <w:r>
        <w:t xml:space="preserve">10 </w:t>
      </w:r>
      <w:r w:rsidRPr="00410E21">
        <w:t>»</w:t>
      </w:r>
      <w:r w:rsidR="00FE2E61">
        <w:t xml:space="preserve"> </w:t>
      </w:r>
      <w:r>
        <w:t xml:space="preserve">ноября </w:t>
      </w:r>
      <w:r w:rsidRPr="00410E21">
        <w:t>20</w:t>
      </w:r>
      <w:r>
        <w:t xml:space="preserve">22 </w:t>
      </w:r>
      <w:r w:rsidRPr="00410E21">
        <w:t>года №</w:t>
      </w:r>
      <w:r>
        <w:t>4</w:t>
      </w:r>
    </w:p>
    <w:p w:rsidR="00F620F5" w:rsidRPr="00410E21" w:rsidRDefault="007C155D" w:rsidP="00F620F5">
      <w:pPr>
        <w:spacing w:line="276" w:lineRule="auto"/>
      </w:pPr>
      <w:r>
        <w:t xml:space="preserve">Срок реализации проекта: </w:t>
      </w:r>
      <w:r w:rsidR="00F620F5">
        <w:t>01.03.2022-15.12.2022</w:t>
      </w:r>
    </w:p>
    <w:tbl>
      <w:tblPr>
        <w:tblW w:w="9923" w:type="dxa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207"/>
        <w:gridCol w:w="648"/>
        <w:gridCol w:w="1034"/>
        <w:gridCol w:w="782"/>
        <w:gridCol w:w="387"/>
        <w:gridCol w:w="53"/>
        <w:gridCol w:w="295"/>
        <w:gridCol w:w="952"/>
        <w:gridCol w:w="431"/>
        <w:gridCol w:w="984"/>
        <w:gridCol w:w="904"/>
        <w:gridCol w:w="273"/>
        <w:gridCol w:w="1276"/>
      </w:tblGrid>
      <w:tr w:rsidR="00F620F5" w:rsidRPr="00410E21" w:rsidTr="003778CE"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Периодичность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ежеквартально</w:t>
            </w:r>
          </w:p>
        </w:tc>
        <w:tc>
          <w:tcPr>
            <w:tcW w:w="51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</w:tr>
      <w:tr w:rsidR="00F620F5" w:rsidRPr="00410E21" w:rsidTr="003778CE">
        <w:trPr>
          <w:trHeight w:val="15"/>
        </w:trPr>
        <w:tc>
          <w:tcPr>
            <w:tcW w:w="697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spacing w:val="2"/>
                <w:lang w:eastAsia="ru-RU"/>
              </w:rPr>
            </w:pPr>
          </w:p>
        </w:tc>
        <w:tc>
          <w:tcPr>
            <w:tcW w:w="1855" w:type="dxa"/>
            <w:gridSpan w:val="2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4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169" w:type="dxa"/>
            <w:gridSpan w:val="2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300" w:type="dxa"/>
            <w:gridSpan w:val="3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415" w:type="dxa"/>
            <w:gridSpan w:val="2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904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549" w:type="dxa"/>
            <w:gridSpan w:val="2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</w:tr>
      <w:tr w:rsidR="00F620F5" w:rsidRPr="00410E21" w:rsidTr="003778CE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N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Наименование</w:t>
            </w:r>
          </w:p>
        </w:tc>
        <w:tc>
          <w:tcPr>
            <w:tcW w:w="73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 xml:space="preserve">Результаты </w:t>
            </w:r>
            <w:bookmarkStart w:id="0" w:name="_GoBack"/>
            <w:bookmarkEnd w:id="0"/>
            <w:r w:rsidRPr="00410E21">
              <w:rPr>
                <w:lang w:eastAsia="ru-RU"/>
              </w:rPr>
              <w:t>предоставления субсидии и показатели</w:t>
            </w:r>
          </w:p>
        </w:tc>
      </w:tr>
      <w:tr w:rsidR="00F620F5" w:rsidRPr="00410E21" w:rsidTr="003778CE"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п/п</w:t>
            </w:r>
          </w:p>
        </w:tc>
        <w:tc>
          <w:tcPr>
            <w:tcW w:w="18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Плановое значение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Достигнутое значение на отчетную дату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Процент выполнения плана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jc w:val="center"/>
              <w:textAlignment w:val="baseline"/>
              <w:rPr>
                <w:lang w:eastAsia="ru-RU"/>
              </w:rPr>
            </w:pPr>
            <w:r w:rsidRPr="00410E21">
              <w:rPr>
                <w:lang w:eastAsia="ru-RU"/>
              </w:rPr>
              <w:t>Причина отклонения</w:t>
            </w:r>
          </w:p>
        </w:tc>
      </w:tr>
      <w:tr w:rsidR="00F620F5" w:rsidRPr="00410E21" w:rsidTr="003778CE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Субсидия в рамках муниципальной программы «Поддержка социально ориентированных некоммерческих организаций муниципального образования «Выборгский район» Ленинградской области в целях возмещения затрат Получателя, связанных с расходами на приобретение товаров, работ, услуг, связанных с участием в торжественно-</w:t>
            </w:r>
            <w:r>
              <w:rPr>
                <w:lang w:eastAsia="ru-RU"/>
              </w:rPr>
              <w:lastRenderedPageBreak/>
              <w:t xml:space="preserve">траурных мероприятиях по захоронению воинов погибших </w:t>
            </w:r>
            <w:proofErr w:type="gramStart"/>
            <w:r>
              <w:rPr>
                <w:lang w:eastAsia="ru-RU"/>
              </w:rPr>
              <w:t>при  исполнении</w:t>
            </w:r>
            <w:proofErr w:type="gramEnd"/>
            <w:r>
              <w:rPr>
                <w:lang w:eastAsia="ru-RU"/>
              </w:rPr>
              <w:t xml:space="preserve"> служебного долга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Участие в торжественно траурных мероприятиях по захоронению воинов, погибших при исполнении служебного долга (мероприятия штук)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3778CE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15.12.2022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082AFB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082AFB" w:rsidP="00A3284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20F5" w:rsidRPr="00410E21" w:rsidRDefault="00082AFB" w:rsidP="00082AF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Нет необходимости в проведении торжественно-</w:t>
            </w:r>
            <w:proofErr w:type="spellStart"/>
            <w:r>
              <w:rPr>
                <w:lang w:eastAsia="ru-RU"/>
              </w:rPr>
              <w:t>траурныхмероприятий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</w:tbl>
    <w:p w:rsidR="00F620F5" w:rsidRPr="00410E21" w:rsidRDefault="00F620F5" w:rsidP="00F620F5">
      <w:pPr>
        <w:spacing w:line="276" w:lineRule="auto"/>
        <w:textAlignment w:val="baseline"/>
        <w:rPr>
          <w:spacing w:val="2"/>
          <w:lang w:eastAsia="ru-RU"/>
        </w:rPr>
      </w:pPr>
      <w:r w:rsidRPr="00410E21">
        <w:rPr>
          <w:spacing w:val="2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538"/>
        <w:gridCol w:w="396"/>
        <w:gridCol w:w="769"/>
        <w:gridCol w:w="588"/>
        <w:gridCol w:w="734"/>
        <w:gridCol w:w="215"/>
        <w:gridCol w:w="323"/>
        <w:gridCol w:w="369"/>
        <w:gridCol w:w="736"/>
        <w:gridCol w:w="505"/>
        <w:gridCol w:w="326"/>
        <w:gridCol w:w="1551"/>
        <w:gridCol w:w="326"/>
        <w:gridCol w:w="2291"/>
      </w:tblGrid>
      <w:tr w:rsidR="00082AFB" w:rsidRPr="00410E21" w:rsidTr="00FE2E61">
        <w:trPr>
          <w:trHeight w:val="15"/>
        </w:trPr>
        <w:tc>
          <w:tcPr>
            <w:tcW w:w="397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spacing w:val="2"/>
                <w:lang w:eastAsia="ru-RU"/>
              </w:rPr>
            </w:pPr>
          </w:p>
        </w:tc>
        <w:tc>
          <w:tcPr>
            <w:tcW w:w="538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96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69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88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34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15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23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69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36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05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26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551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26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291" w:type="dxa"/>
            <w:hideMark/>
          </w:tcPr>
          <w:p w:rsidR="00F620F5" w:rsidRPr="00410E21" w:rsidRDefault="00F620F5" w:rsidP="00A32846">
            <w:pPr>
              <w:spacing w:line="276" w:lineRule="auto"/>
              <w:rPr>
                <w:lang w:eastAsia="ru-RU"/>
              </w:rPr>
            </w:pPr>
          </w:p>
        </w:tc>
      </w:tr>
    </w:tbl>
    <w:p w:rsidR="00F620F5" w:rsidRPr="00410E21" w:rsidRDefault="00F620F5" w:rsidP="00F620F5">
      <w:pPr>
        <w:spacing w:line="276" w:lineRule="auto"/>
      </w:pPr>
      <w:r w:rsidRPr="00410E21">
        <w:rPr>
          <w:spacing w:val="2"/>
          <w:lang w:eastAsia="ru-RU"/>
        </w:rPr>
        <w:br/>
      </w:r>
    </w:p>
    <w:p w:rsidR="00F620F5" w:rsidRDefault="00F620F5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3778CE" w:rsidRPr="00410E21" w:rsidRDefault="003778CE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F620F5" w:rsidRPr="00410E21" w:rsidRDefault="00F620F5" w:rsidP="00F620F5">
      <w:pPr>
        <w:spacing w:before="375" w:after="225" w:line="276" w:lineRule="auto"/>
        <w:jc w:val="center"/>
        <w:textAlignment w:val="baseline"/>
        <w:outlineLvl w:val="2"/>
        <w:rPr>
          <w:spacing w:val="2"/>
          <w:lang w:eastAsia="ru-RU"/>
        </w:rPr>
      </w:pPr>
    </w:p>
    <w:p w:rsidR="00F620F5" w:rsidRPr="00410E21" w:rsidRDefault="00F620F5" w:rsidP="00F620F5">
      <w:pPr>
        <w:suppressAutoHyphens w:val="0"/>
        <w:spacing w:after="160" w:line="276" w:lineRule="auto"/>
        <w:rPr>
          <w:rFonts w:cs="Calibri"/>
        </w:rPr>
      </w:pPr>
    </w:p>
    <w:p w:rsidR="00F620F5" w:rsidRPr="00410E21" w:rsidRDefault="00F620F5" w:rsidP="00B01DC1">
      <w:pPr>
        <w:spacing w:line="276" w:lineRule="auto"/>
      </w:pPr>
    </w:p>
    <w:sectPr w:rsidR="00F620F5" w:rsidRPr="00410E21" w:rsidSect="00A52A79">
      <w:pgSz w:w="11906" w:h="16838"/>
      <w:pgMar w:top="709" w:right="849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327DA"/>
    <w:multiLevelType w:val="hybridMultilevel"/>
    <w:tmpl w:val="A132A3AC"/>
    <w:lvl w:ilvl="0" w:tplc="94A4E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4"/>
    <w:rsid w:val="00006664"/>
    <w:rsid w:val="00082AFB"/>
    <w:rsid w:val="00224B03"/>
    <w:rsid w:val="003778CE"/>
    <w:rsid w:val="007C155D"/>
    <w:rsid w:val="008C65F3"/>
    <w:rsid w:val="00B01DC1"/>
    <w:rsid w:val="00F620F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082B-8954-4B9E-ABA0-E88994B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0F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82A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F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9</cp:revision>
  <cp:lastPrinted>2022-12-15T08:21:00Z</cp:lastPrinted>
  <dcterms:created xsi:type="dcterms:W3CDTF">2022-11-29T12:16:00Z</dcterms:created>
  <dcterms:modified xsi:type="dcterms:W3CDTF">2023-02-27T09:47:00Z</dcterms:modified>
</cp:coreProperties>
</file>